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ascii="Times New Roman" w:hAnsi="Times New Roman" w:cs="Times New Roman"/>
          <w:sz w:val="56"/>
          <w:szCs w:val="56"/>
        </w:rPr>
      </w:pP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中共益阳市赫山区纪委</w:t>
      </w:r>
      <w:r>
        <w:rPr>
          <w:rFonts w:ascii="Times New Roman" w:hAnsi="Times New Roman" w:eastAsia="方正小标宋_GBK" w:cs="Times New Roman"/>
          <w:sz w:val="52"/>
          <w:szCs w:val="52"/>
        </w:rPr>
        <w:t>部门决算</w:t>
      </w:r>
    </w:p>
    <w:p>
      <w:pPr>
        <w:pStyle w:val="14"/>
        <w:spacing w:line="360" w:lineRule="auto"/>
        <w:jc w:val="center"/>
        <w:rPr>
          <w:rFonts w:ascii="Times New Roman" w:hAnsi="Times New Roman" w:eastAsia="方正小标宋_GBK" w:cs="Times New Roman"/>
          <w:sz w:val="52"/>
          <w:szCs w:val="52"/>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center"/>
        <w:rPr>
          <w:rFonts w:ascii="Times New Roman" w:hAnsi="Times New Roman" w:cs="Times New Roman"/>
          <w:bCs/>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赫山区纪委</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赫山区纪委</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pStyle w:val="15"/>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中共益阳市赫山区纪律检查委员会（简称“区纪委”）与益阳市赫山区监察委员会（简称“区监委”）合署办公，实行一套工作机构、两个机关名称，履行党的纪律检查和国家监察两项职责。</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主要职责是：</w:t>
      </w:r>
    </w:p>
    <w:p>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负责全区党的纪律检查工作。</w:t>
      </w:r>
    </w:p>
    <w:p>
      <w:pPr>
        <w:numPr>
          <w:ilvl w:val="0"/>
          <w:numId w:val="1"/>
        </w:num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依照党的章程和其他党内法规履行监督、执纪、问责职责。在区委领导下组织开展巡察工作。</w:t>
      </w:r>
    </w:p>
    <w:p>
      <w:pPr>
        <w:numPr>
          <w:ilvl w:val="0"/>
          <w:numId w:val="1"/>
        </w:num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负责全区监察工作。负责组织协调全区全面从严治党、党风廉政建设和反腐败宣传教育工作。</w:t>
      </w:r>
    </w:p>
    <w:p>
      <w:pPr>
        <w:numPr>
          <w:ilvl w:val="0"/>
          <w:numId w:val="1"/>
        </w:num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负责综合分析全区全面从严治党、党风廉政建设和反腐败工作情况；起草制定或者修改本区纪检监察制度规定，参与起草制定本区规范性文件。</w:t>
      </w:r>
    </w:p>
    <w:p>
      <w:pPr>
        <w:numPr>
          <w:ilvl w:val="0"/>
          <w:numId w:val="1"/>
        </w:num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负责协调落实市纪委市监委交办的反腐败国际交流、合作等方面事宜；加强对全区反腐败国际追逃追赃和防逃工作的组织协调。</w:t>
      </w:r>
    </w:p>
    <w:p>
      <w:pPr>
        <w:numPr>
          <w:ilvl w:val="0"/>
          <w:numId w:val="1"/>
        </w:num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根据干部管理权限，负责全区纪检监察系统领导班子建设、干部队伍建设和组织建设的综合规则、制度建设和业务指导；会同有关方面做好区纪委区监委派驻机构，乡镇、街道纪（工）委，区管企业纪检监察机构和益阳市卫生职业技术学校纪检监察机构建设有关工作；组织和指导全区纪检监察系统干部教育培训工作。</w:t>
      </w:r>
    </w:p>
    <w:p>
      <w:pPr>
        <w:numPr>
          <w:ilvl w:val="0"/>
          <w:numId w:val="1"/>
        </w:numPr>
        <w:spacing w:line="560" w:lineRule="exact"/>
        <w:ind w:left="0" w:leftChars="0" w:firstLine="640" w:firstLineChars="200"/>
        <w:rPr>
          <w:rFonts w:hint="eastAsia" w:ascii="仿宋" w:hAnsi="仿宋" w:eastAsia="仿宋" w:cs="仿宋"/>
          <w:sz w:val="32"/>
          <w:szCs w:val="32"/>
        </w:rPr>
      </w:pPr>
      <w:r>
        <w:rPr>
          <w:rFonts w:hint="eastAsia" w:ascii="仿宋" w:hAnsi="仿宋" w:eastAsia="仿宋" w:cs="仿宋"/>
          <w:sz w:val="32"/>
          <w:szCs w:val="32"/>
        </w:rPr>
        <w:t>完成市纪委市监委和区委交办的其他任务。</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pacing w:line="560" w:lineRule="exact"/>
        <w:ind w:firstLine="640" w:firstLineChars="200"/>
        <w:rPr>
          <w:rFonts w:hint="eastAsia" w:ascii="仿宋" w:hAnsi="仿宋" w:eastAsia="仿宋" w:cs="仿宋"/>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sz w:val="32"/>
          <w:szCs w:val="32"/>
        </w:rPr>
        <w:t>赫山区纪委监委机关设有1</w:t>
      </w:r>
      <w:r>
        <w:rPr>
          <w:rFonts w:hint="eastAsia" w:ascii="仿宋" w:hAnsi="仿宋" w:eastAsia="仿宋" w:cs="仿宋"/>
          <w:sz w:val="32"/>
          <w:szCs w:val="32"/>
          <w:lang w:val="en-US" w:eastAsia="zh-CN"/>
        </w:rPr>
        <w:t>5</w:t>
      </w:r>
      <w:r>
        <w:rPr>
          <w:rFonts w:hint="eastAsia" w:ascii="仿宋" w:hAnsi="仿宋" w:eastAsia="仿宋" w:cs="仿宋"/>
          <w:sz w:val="32"/>
          <w:szCs w:val="32"/>
        </w:rPr>
        <w:t>个内设机构，分别为办公室（调研法规室）、组织部、宣传部、党风政风监督室、信访室、第一至第四纪检监察室、第五纪检监察室（区反腐败协调小组国际追逃追赃和防逃工作办公室）、第</w:t>
      </w:r>
      <w:r>
        <w:rPr>
          <w:rFonts w:hint="eastAsia" w:ascii="仿宋" w:hAnsi="仿宋" w:eastAsia="仿宋" w:cs="仿宋"/>
          <w:sz w:val="32"/>
          <w:szCs w:val="32"/>
          <w:lang w:val="en-US" w:eastAsia="zh-CN"/>
        </w:rPr>
        <w:t>六至</w:t>
      </w:r>
      <w:r>
        <w:rPr>
          <w:rFonts w:hint="eastAsia" w:ascii="仿宋" w:hAnsi="仿宋" w:eastAsia="仿宋" w:cs="仿宋"/>
          <w:sz w:val="32"/>
          <w:szCs w:val="32"/>
        </w:rPr>
        <w:t>第</w:t>
      </w:r>
      <w:r>
        <w:rPr>
          <w:rFonts w:hint="eastAsia" w:ascii="仿宋" w:hAnsi="仿宋" w:eastAsia="仿宋" w:cs="仿宋"/>
          <w:sz w:val="32"/>
          <w:szCs w:val="32"/>
          <w:lang w:val="en-US" w:eastAsia="zh-CN"/>
        </w:rPr>
        <w:t>七</w:t>
      </w:r>
      <w:r>
        <w:rPr>
          <w:rFonts w:hint="eastAsia" w:ascii="仿宋" w:hAnsi="仿宋" w:eastAsia="仿宋" w:cs="仿宋"/>
          <w:sz w:val="32"/>
          <w:szCs w:val="32"/>
        </w:rPr>
        <w:t>纪检监察室</w:t>
      </w:r>
      <w:r>
        <w:rPr>
          <w:rFonts w:hint="eastAsia" w:ascii="仿宋" w:hAnsi="仿宋" w:eastAsia="仿宋" w:cs="仿宋"/>
          <w:sz w:val="32"/>
          <w:szCs w:val="32"/>
          <w:lang w:eastAsia="zh-CN"/>
        </w:rPr>
        <w:t>、</w:t>
      </w:r>
      <w:r>
        <w:rPr>
          <w:rFonts w:hint="eastAsia" w:ascii="仿宋" w:hAnsi="仿宋" w:eastAsia="仿宋" w:cs="仿宋"/>
          <w:sz w:val="32"/>
          <w:szCs w:val="32"/>
        </w:rPr>
        <w:t>案件监督管理室（信息技术保障室）、案件审理室（申诉复查办公室）、纪检监察干部监督室；设立</w:t>
      </w:r>
      <w:r>
        <w:rPr>
          <w:rFonts w:hint="eastAsia" w:ascii="仿宋" w:hAnsi="仿宋" w:eastAsia="仿宋" w:cs="仿宋"/>
          <w:sz w:val="32"/>
          <w:szCs w:val="32"/>
          <w:lang w:val="en-US" w:eastAsia="zh-CN"/>
        </w:rPr>
        <w:t>8</w:t>
      </w:r>
      <w:r>
        <w:rPr>
          <w:rFonts w:hint="eastAsia" w:ascii="仿宋" w:hAnsi="仿宋" w:eastAsia="仿宋" w:cs="仿宋"/>
          <w:sz w:val="32"/>
          <w:szCs w:val="32"/>
        </w:rPr>
        <w:t>个派驻纪检监察组，分别为驻区委</w:t>
      </w:r>
      <w:r>
        <w:rPr>
          <w:rFonts w:hint="eastAsia" w:ascii="仿宋" w:hAnsi="仿宋" w:eastAsia="仿宋" w:cs="仿宋"/>
          <w:sz w:val="32"/>
          <w:szCs w:val="32"/>
          <w:lang w:val="en-US" w:eastAsia="zh-CN"/>
        </w:rPr>
        <w:t>办公室</w:t>
      </w:r>
      <w:r>
        <w:rPr>
          <w:rFonts w:hint="eastAsia" w:ascii="仿宋" w:hAnsi="仿宋" w:eastAsia="仿宋" w:cs="仿宋"/>
          <w:sz w:val="32"/>
          <w:szCs w:val="32"/>
        </w:rPr>
        <w:t>纪检监察组、驻区</w:t>
      </w:r>
      <w:r>
        <w:rPr>
          <w:rFonts w:hint="eastAsia" w:ascii="仿宋" w:hAnsi="仿宋" w:eastAsia="仿宋" w:cs="仿宋"/>
          <w:sz w:val="32"/>
          <w:szCs w:val="32"/>
          <w:lang w:val="en-US" w:eastAsia="zh-CN"/>
        </w:rPr>
        <w:t>政府办公室</w:t>
      </w:r>
      <w:r>
        <w:rPr>
          <w:rFonts w:hint="eastAsia" w:ascii="仿宋" w:hAnsi="仿宋" w:eastAsia="仿宋" w:cs="仿宋"/>
          <w:sz w:val="32"/>
          <w:szCs w:val="32"/>
        </w:rPr>
        <w:t>纪检监察组、驻区委组织部纪检监察组、驻区委政法委纪检监察组、驻区教育局纪检监察组、驻区</w:t>
      </w:r>
      <w:r>
        <w:rPr>
          <w:rFonts w:hint="eastAsia" w:ascii="仿宋" w:hAnsi="仿宋" w:eastAsia="仿宋" w:cs="仿宋"/>
          <w:sz w:val="32"/>
          <w:szCs w:val="32"/>
          <w:lang w:val="en-US" w:eastAsia="zh-CN"/>
        </w:rPr>
        <w:t>发改</w:t>
      </w:r>
      <w:r>
        <w:rPr>
          <w:rFonts w:hint="eastAsia" w:ascii="仿宋" w:hAnsi="仿宋" w:eastAsia="仿宋" w:cs="仿宋"/>
          <w:sz w:val="32"/>
          <w:szCs w:val="32"/>
        </w:rPr>
        <w:t>局纪检监察组、驻区住建局纪检监察组、驻区农业农村局纪检监察组；区委巡察办和区委第一至第三巡察组人员工资福利、日常经费等在本委统筹管理。</w:t>
      </w:r>
    </w:p>
    <w:p>
      <w:pPr>
        <w:widowControl/>
        <w:spacing w:line="600" w:lineRule="exact"/>
        <w:ind w:firstLine="640" w:firstLineChars="200"/>
        <w:rPr>
          <w:rFonts w:ascii="Times New Roman" w:hAnsi="Times New Roman" w:eastAsia="黑体" w:cs="Times New Roman"/>
          <w:sz w:val="28"/>
          <w:szCs w:val="28"/>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赫山区纪委</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赫山区纪委</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Ind w:w="0" w:type="dxa"/>
        <w:tblLayout w:type="fixed"/>
        <w:tblCellMar>
          <w:top w:w="0" w:type="dxa"/>
          <w:left w:w="108" w:type="dxa"/>
          <w:bottom w:w="0" w:type="dxa"/>
          <w:right w:w="108" w:type="dxa"/>
        </w:tblCellMar>
      </w:tblPr>
      <w:tblGrid>
        <w:gridCol w:w="5762"/>
        <w:gridCol w:w="850"/>
        <w:gridCol w:w="1291"/>
        <w:gridCol w:w="4851"/>
        <w:gridCol w:w="850"/>
        <w:gridCol w:w="1292"/>
      </w:tblGrid>
      <w:tr>
        <w:tblPrEx>
          <w:tblLayout w:type="fixed"/>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sz w:val="22"/>
                <w:lang w:val="en-US" w:eastAsia="zh-CN"/>
              </w:rPr>
            </w:pPr>
            <w:r>
              <w:rPr>
                <w:rFonts w:hint="eastAsia" w:ascii="宋体" w:hAnsi="宋体" w:eastAsia="宋体" w:cs="宋体"/>
                <w:i w:val="0"/>
                <w:color w:val="000000"/>
                <w:kern w:val="0"/>
                <w:sz w:val="22"/>
                <w:szCs w:val="22"/>
                <w:u w:val="none"/>
                <w:lang w:val="en-US" w:eastAsia="zh-CN" w:bidi="ar"/>
              </w:rPr>
              <w:t xml:space="preserve">3,921.10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Times New Roman" w:hAnsi="Times New Roman" w:eastAsia="仿宋_GB2312" w:cs="Times New Roman"/>
                <w:color w:val="000000"/>
                <w:sz w:val="22"/>
                <w:lang w:val="en-US" w:eastAsia="zh-CN"/>
              </w:rPr>
            </w:pPr>
            <w:r>
              <w:rPr>
                <w:rFonts w:hint="eastAsia" w:ascii="宋体" w:hAnsi="宋体" w:eastAsia="宋体" w:cs="宋体"/>
                <w:i w:val="0"/>
                <w:color w:val="000000"/>
                <w:kern w:val="0"/>
                <w:sz w:val="22"/>
                <w:szCs w:val="22"/>
                <w:u w:val="none"/>
                <w:lang w:val="en-US" w:eastAsia="zh-CN" w:bidi="ar"/>
              </w:rPr>
              <w:t xml:space="preserve">3,629.80 </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38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lang w:val="en-US" w:eastAsia="zh-CN"/>
              </w:rPr>
            </w:pPr>
            <w:r>
              <w:rPr>
                <w:rFonts w:hint="eastAsia"/>
                <w:lang w:val="en-US" w:eastAsia="zh-CN"/>
              </w:rPr>
              <w:t>8</w:t>
            </w:r>
          </w:p>
          <w:p>
            <w:pPr>
              <w:pStyle w:val="8"/>
              <w:rPr>
                <w:rFonts w:hint="eastAsia"/>
                <w:lang w:val="en-US" w:eastAsia="zh-CN"/>
              </w:rPr>
            </w:pPr>
            <w:r>
              <w:rPr>
                <w:rFonts w:hint="eastAsia"/>
                <w:lang w:val="en-US" w:eastAsia="zh-CN"/>
              </w:rPr>
              <w:t>9</w:t>
            </w:r>
          </w:p>
          <w:p>
            <w:pPr>
              <w:pStyle w:val="4"/>
              <w:rPr>
                <w:rFonts w:hint="eastAsia"/>
                <w:lang w:val="en-US" w:eastAsia="zh-CN"/>
              </w:rPr>
            </w:pPr>
            <w:r>
              <w:rPr>
                <w:rFonts w:hint="eastAsia" w:ascii="Times New Roman" w:hAnsi="Times New Roman" w:eastAsia="仿宋_GB2312" w:cs="Times New Roman"/>
                <w:color w:val="000000"/>
                <w:kern w:val="0"/>
                <w:sz w:val="22"/>
                <w:lang w:val="en-US" w:eastAsia="zh-CN"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122.76 </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lang w:val="en-US" w:eastAsia="zh-CN"/>
              </w:rPr>
            </w:pPr>
            <w:r>
              <w:rPr>
                <w:rFonts w:hint="eastAsia"/>
                <w:lang w:val="en-US" w:eastAsia="zh-CN"/>
              </w:rPr>
              <w:t>9</w:t>
            </w:r>
          </w:p>
          <w:p>
            <w:pPr>
              <w:pStyle w:val="8"/>
              <w:rPr>
                <w:rFonts w:hint="eastAsia"/>
                <w:lang w:val="en-US" w:eastAsia="zh-CN"/>
              </w:rPr>
            </w:pP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63.54 </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val="en-US" w:eastAsia="zh-CN" w:bidi="ar"/>
              </w:rPr>
              <w:t>19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50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104.99 </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20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lang w:val="en-US"/>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53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54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55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1F1F1"/>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3,921.10 </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color w:val="000000"/>
                <w:kern w:val="0"/>
                <w:sz w:val="22"/>
                <w:szCs w:val="22"/>
                <w:u w:val="none"/>
                <w:lang w:val="en-US" w:eastAsia="zh-CN" w:bidi="ar"/>
              </w:rPr>
              <w:t xml:space="preserve">3,921.10 </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color w:val="000000"/>
                <w:kern w:val="0"/>
                <w:sz w:val="22"/>
                <w:szCs w:val="22"/>
                <w:u w:val="none"/>
                <w:lang w:val="en-US" w:eastAsia="zh-CN" w:bidi="ar"/>
              </w:rPr>
              <w:t xml:space="preserve">0.00 </w:t>
            </w: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textAlignment w:val="center"/>
              <w:rPr>
                <w:rFonts w:ascii="Times New Roman" w:hAnsi="Times New Roman" w:eastAsia="仿宋_GB2312" w:cs="Times New Roman"/>
                <w:color w:val="000000"/>
                <w:kern w:val="0"/>
                <w:sz w:val="22"/>
                <w:lang w:bidi="ar"/>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Times New Roman" w:hAnsi="Times New Roman" w:eastAsia="仿宋_GB2312" w:cs="Times New Roman"/>
                <w:b/>
                <w:color w:val="000000"/>
                <w:sz w:val="22"/>
              </w:rPr>
            </w:pPr>
          </w:p>
        </w:tc>
      </w:tr>
      <w:tr>
        <w:tblPrEx>
          <w:tblLayout w:type="fixed"/>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 xml:space="preserve">3,921.10 </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宋体" w:hAnsi="宋体" w:eastAsia="宋体" w:cs="宋体"/>
                <w:i w:val="0"/>
                <w:color w:val="000000"/>
                <w:kern w:val="0"/>
                <w:sz w:val="22"/>
                <w:szCs w:val="22"/>
                <w:u w:val="none"/>
                <w:lang w:val="en-US" w:eastAsia="zh-CN" w:bidi="ar"/>
              </w:rPr>
              <w:t xml:space="preserve">3,921.10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Ind w:w="0" w:type="dxa"/>
        <w:tblLayout w:type="fixed"/>
        <w:tblCellMar>
          <w:top w:w="0" w:type="dxa"/>
          <w:left w:w="0" w:type="dxa"/>
          <w:bottom w:w="0" w:type="dxa"/>
          <w:right w:w="0" w:type="dxa"/>
        </w:tblCellMar>
      </w:tblPr>
      <w:tblGrid>
        <w:gridCol w:w="1886"/>
        <w:gridCol w:w="2327"/>
        <w:gridCol w:w="1410"/>
        <w:gridCol w:w="1455"/>
        <w:gridCol w:w="1710"/>
        <w:gridCol w:w="1350"/>
        <w:gridCol w:w="1248"/>
        <w:gridCol w:w="1897"/>
        <w:gridCol w:w="1383"/>
      </w:tblGrid>
      <w:tr>
        <w:tblPrEx>
          <w:tblLayout w:type="fixed"/>
          <w:tblCellMar>
            <w:top w:w="0" w:type="dxa"/>
            <w:left w:w="0" w:type="dxa"/>
            <w:bottom w:w="0" w:type="dxa"/>
            <w:right w:w="0" w:type="dxa"/>
          </w:tblCellMar>
        </w:tblPrEx>
        <w:trPr>
          <w:trHeight w:val="450" w:hRule="atLeast"/>
          <w:jc w:val="center"/>
        </w:trPr>
        <w:tc>
          <w:tcPr>
            <w:tcW w:w="421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5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7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3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2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Layout w:type="fixed"/>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2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4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2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71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5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48"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Layout w:type="fixed"/>
          <w:tblCellMar>
            <w:top w:w="0" w:type="dxa"/>
            <w:left w:w="0" w:type="dxa"/>
            <w:bottom w:w="0" w:type="dxa"/>
            <w:right w:w="0" w:type="dxa"/>
          </w:tblCellMar>
        </w:tblPrEx>
        <w:trPr>
          <w:trHeight w:val="450" w:hRule="atLeast"/>
          <w:jc w:val="center"/>
        </w:trPr>
        <w:tc>
          <w:tcPr>
            <w:tcW w:w="421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1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71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35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24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Layout w:type="fixed"/>
          <w:tblCellMar>
            <w:top w:w="0" w:type="dxa"/>
            <w:left w:w="0" w:type="dxa"/>
            <w:bottom w:w="0" w:type="dxa"/>
            <w:right w:w="0" w:type="dxa"/>
          </w:tblCellMar>
        </w:tblPrEx>
        <w:trPr>
          <w:trHeight w:val="450" w:hRule="atLeast"/>
          <w:jc w:val="center"/>
        </w:trPr>
        <w:tc>
          <w:tcPr>
            <w:tcW w:w="421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sz w:val="22"/>
                <w:szCs w:val="22"/>
              </w:rPr>
            </w:pPr>
            <w:r>
              <w:rPr>
                <w:rFonts w:hint="eastAsia" w:ascii="仿宋" w:hAnsi="仿宋" w:eastAsia="仿宋" w:cs="仿宋"/>
                <w:b w:val="0"/>
                <w:bCs/>
                <w:i w:val="0"/>
                <w:color w:val="262626"/>
                <w:kern w:val="0"/>
                <w:sz w:val="22"/>
                <w:szCs w:val="22"/>
                <w:u w:val="none"/>
                <w:lang w:val="en-US" w:eastAsia="zh-CN" w:bidi="ar"/>
              </w:rPr>
              <w:t>3,921.10</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b w:val="0"/>
                <w:bCs/>
                <w:sz w:val="22"/>
                <w:szCs w:val="22"/>
              </w:rPr>
            </w:pPr>
            <w:r>
              <w:rPr>
                <w:rFonts w:hint="eastAsia" w:ascii="仿宋" w:hAnsi="仿宋" w:eastAsia="仿宋" w:cs="仿宋"/>
                <w:b w:val="0"/>
                <w:bCs/>
                <w:i w:val="0"/>
                <w:color w:val="262626"/>
                <w:kern w:val="0"/>
                <w:sz w:val="22"/>
                <w:szCs w:val="22"/>
                <w:u w:val="none"/>
                <w:lang w:val="en-US" w:eastAsia="zh-CN" w:bidi="ar"/>
              </w:rPr>
              <w:t>3,921.10</w:t>
            </w:r>
          </w:p>
        </w:tc>
        <w:tc>
          <w:tcPr>
            <w:tcW w:w="17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2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2011101</w:t>
            </w:r>
          </w:p>
        </w:tc>
        <w:tc>
          <w:tcPr>
            <w:tcW w:w="232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行政运行</w:t>
            </w:r>
          </w:p>
        </w:tc>
        <w:tc>
          <w:tcPr>
            <w:tcW w:w="14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1,874.20</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1,874.20</w:t>
            </w:r>
          </w:p>
        </w:tc>
        <w:tc>
          <w:tcPr>
            <w:tcW w:w="17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color w:val="auto"/>
                <w:sz w:val="21"/>
                <w:szCs w:val="21"/>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2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2011102</w:t>
            </w:r>
          </w:p>
        </w:tc>
        <w:tc>
          <w:tcPr>
            <w:tcW w:w="232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一般行政管理事务</w:t>
            </w:r>
          </w:p>
        </w:tc>
        <w:tc>
          <w:tcPr>
            <w:tcW w:w="14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1,193.57</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1,193.57</w:t>
            </w:r>
          </w:p>
        </w:tc>
        <w:tc>
          <w:tcPr>
            <w:tcW w:w="17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color w:val="auto"/>
                <w:sz w:val="21"/>
                <w:szCs w:val="21"/>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2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2011199</w:t>
            </w:r>
          </w:p>
        </w:tc>
        <w:tc>
          <w:tcPr>
            <w:tcW w:w="232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其他纪检监察事务支出</w:t>
            </w:r>
          </w:p>
        </w:tc>
        <w:tc>
          <w:tcPr>
            <w:tcW w:w="14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562.03</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562.03</w:t>
            </w:r>
          </w:p>
        </w:tc>
        <w:tc>
          <w:tcPr>
            <w:tcW w:w="17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color w:val="auto"/>
                <w:sz w:val="21"/>
                <w:szCs w:val="21"/>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2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sz w:val="24"/>
                <w:szCs w:val="24"/>
              </w:rPr>
            </w:pPr>
            <w:r>
              <w:rPr>
                <w:rFonts w:ascii="Times New Roman" w:hAnsi="Times New Roman" w:eastAsia="仿宋_GB2312" w:cs="Times New Roman"/>
                <w:color w:val="auto"/>
              </w:rPr>
              <w:t>　</w:t>
            </w: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2080505</w:t>
            </w:r>
          </w:p>
        </w:tc>
        <w:tc>
          <w:tcPr>
            <w:tcW w:w="232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机关事业单位基本养老保险缴费支出</w:t>
            </w:r>
          </w:p>
        </w:tc>
        <w:tc>
          <w:tcPr>
            <w:tcW w:w="14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122.76</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122.76</w:t>
            </w:r>
          </w:p>
        </w:tc>
        <w:tc>
          <w:tcPr>
            <w:tcW w:w="17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color w:val="auto"/>
                <w:sz w:val="18"/>
                <w:szCs w:val="20"/>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c>
          <w:tcPr>
            <w:tcW w:w="12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2101101</w:t>
            </w:r>
          </w:p>
        </w:tc>
        <w:tc>
          <w:tcPr>
            <w:tcW w:w="2327"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行政单位医疗</w:t>
            </w:r>
          </w:p>
        </w:tc>
        <w:tc>
          <w:tcPr>
            <w:tcW w:w="14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63.54</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63.54</w:t>
            </w:r>
          </w:p>
        </w:tc>
        <w:tc>
          <w:tcPr>
            <w:tcW w:w="171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color w:val="auto"/>
                <w:sz w:val="18"/>
                <w:szCs w:val="20"/>
              </w:rPr>
            </w:pPr>
          </w:p>
        </w:tc>
        <w:tc>
          <w:tcPr>
            <w:tcW w:w="135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c>
          <w:tcPr>
            <w:tcW w:w="124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Times New Roman" w:hAnsi="Times New Roman" w:eastAsia="仿宋_GB2312" w:cs="Times New Roman"/>
                <w:color w:val="auto"/>
              </w:rPr>
            </w:pPr>
          </w:p>
        </w:tc>
      </w:tr>
      <w:tr>
        <w:tblPrEx>
          <w:tblLayout w:type="fixed"/>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2210201</w:t>
            </w:r>
          </w:p>
        </w:tc>
        <w:tc>
          <w:tcPr>
            <w:tcW w:w="23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住房公积金</w:t>
            </w:r>
          </w:p>
        </w:tc>
        <w:tc>
          <w:tcPr>
            <w:tcW w:w="141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104.99</w:t>
            </w:r>
          </w:p>
        </w:tc>
        <w:tc>
          <w:tcPr>
            <w:tcW w:w="145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sz w:val="22"/>
                <w:szCs w:val="22"/>
              </w:rPr>
            </w:pPr>
            <w:r>
              <w:rPr>
                <w:rFonts w:hint="eastAsia" w:ascii="仿宋" w:hAnsi="仿宋" w:eastAsia="仿宋" w:cs="仿宋"/>
                <w:i w:val="0"/>
                <w:color w:val="auto"/>
                <w:kern w:val="0"/>
                <w:sz w:val="22"/>
                <w:szCs w:val="22"/>
                <w:u w:val="none"/>
                <w:lang w:val="en-US" w:eastAsia="zh-CN" w:bidi="ar"/>
              </w:rPr>
              <w:t>104.99</w:t>
            </w:r>
          </w:p>
        </w:tc>
        <w:tc>
          <w:tcPr>
            <w:tcW w:w="1710"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color w:val="auto"/>
                <w:sz w:val="18"/>
                <w:szCs w:val="20"/>
              </w:rPr>
            </w:pPr>
          </w:p>
        </w:tc>
        <w:tc>
          <w:tcPr>
            <w:tcW w:w="1350" w:type="dxa"/>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color w:val="auto"/>
              </w:rPr>
            </w:pPr>
          </w:p>
        </w:tc>
        <w:tc>
          <w:tcPr>
            <w:tcW w:w="1248" w:type="dxa"/>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color w:val="auto"/>
              </w:rPr>
            </w:pPr>
          </w:p>
        </w:tc>
        <w:tc>
          <w:tcPr>
            <w:tcW w:w="1897" w:type="dxa"/>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color w:val="auto"/>
              </w:rPr>
            </w:pPr>
          </w:p>
        </w:tc>
        <w:tc>
          <w:tcPr>
            <w:tcW w:w="1383" w:type="dxa"/>
            <w:tcBorders>
              <w:top w:val="single" w:color="auto" w:sz="4" w:space="0"/>
              <w:left w:val="single" w:color="auto" w:sz="4" w:space="0"/>
              <w:bottom w:val="single" w:color="auto" w:sz="4" w:space="0"/>
              <w:right w:val="single" w:color="auto" w:sz="4" w:space="0"/>
            </w:tcBorders>
          </w:tcPr>
          <w:p>
            <w:pPr>
              <w:jc w:val="right"/>
              <w:rPr>
                <w:rFonts w:ascii="Times New Roman" w:hAnsi="Times New Roman" w:eastAsia="仿宋_GB2312" w:cs="Times New Roman"/>
                <w:color w:val="auto"/>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4214" w:type="dxa"/>
        <w:jc w:val="center"/>
        <w:tblInd w:w="0" w:type="dxa"/>
        <w:tblLayout w:type="fixed"/>
        <w:tblCellMar>
          <w:top w:w="0" w:type="dxa"/>
          <w:left w:w="108" w:type="dxa"/>
          <w:bottom w:w="0" w:type="dxa"/>
          <w:right w:w="108" w:type="dxa"/>
        </w:tblCellMar>
      </w:tblPr>
      <w:tblGrid>
        <w:gridCol w:w="2232"/>
        <w:gridCol w:w="2490"/>
        <w:gridCol w:w="1770"/>
        <w:gridCol w:w="1305"/>
        <w:gridCol w:w="1365"/>
        <w:gridCol w:w="1365"/>
        <w:gridCol w:w="1245"/>
        <w:gridCol w:w="2442"/>
      </w:tblGrid>
      <w:tr>
        <w:tblPrEx>
          <w:tblLayout w:type="fixed"/>
          <w:tblCellMar>
            <w:top w:w="0" w:type="dxa"/>
            <w:left w:w="108" w:type="dxa"/>
            <w:bottom w:w="0" w:type="dxa"/>
            <w:right w:w="108" w:type="dxa"/>
          </w:tblCellMar>
        </w:tblPrEx>
        <w:trPr>
          <w:trHeight w:val="595" w:hRule="atLeast"/>
          <w:jc w:val="center"/>
        </w:trPr>
        <w:tc>
          <w:tcPr>
            <w:tcW w:w="472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7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0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3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24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44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Layout w:type="fixed"/>
          <w:tblCellMar>
            <w:top w:w="0" w:type="dxa"/>
            <w:left w:w="108" w:type="dxa"/>
            <w:bottom w:w="0" w:type="dxa"/>
            <w:right w:w="108" w:type="dxa"/>
          </w:tblCellMar>
        </w:tblPrEx>
        <w:trPr>
          <w:trHeight w:val="312" w:hRule="exact"/>
          <w:jc w:val="center"/>
        </w:trPr>
        <w:tc>
          <w:tcPr>
            <w:tcW w:w="223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490"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44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22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49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0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3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44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Layout w:type="fixed"/>
          <w:tblCellMar>
            <w:top w:w="0" w:type="dxa"/>
            <w:left w:w="108" w:type="dxa"/>
            <w:bottom w:w="0" w:type="dxa"/>
            <w:right w:w="108" w:type="dxa"/>
          </w:tblCellMar>
        </w:tblPrEx>
        <w:trPr>
          <w:trHeight w:val="595" w:hRule="atLeast"/>
          <w:jc w:val="center"/>
        </w:trPr>
        <w:tc>
          <w:tcPr>
            <w:tcW w:w="472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770"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05"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65"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365"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45"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442" w:type="dxa"/>
            <w:tcBorders>
              <w:top w:val="nil"/>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Layout w:type="fixed"/>
          <w:tblCellMar>
            <w:top w:w="0" w:type="dxa"/>
            <w:left w:w="108" w:type="dxa"/>
            <w:bottom w:w="0" w:type="dxa"/>
            <w:right w:w="108" w:type="dxa"/>
          </w:tblCellMar>
        </w:tblPrEx>
        <w:trPr>
          <w:trHeight w:val="595" w:hRule="atLeast"/>
          <w:jc w:val="center"/>
        </w:trPr>
        <w:tc>
          <w:tcPr>
            <w:tcW w:w="472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仿宋" w:hAnsi="仿宋" w:eastAsia="仿宋" w:cs="仿宋"/>
                <w:color w:val="auto"/>
                <w:kern w:val="0"/>
                <w:sz w:val="22"/>
                <w:szCs w:val="22"/>
                <w:shd w:val="clear" w:color="auto" w:fill="auto"/>
              </w:rPr>
            </w:pPr>
            <w:r>
              <w:rPr>
                <w:rFonts w:hint="eastAsia" w:ascii="仿宋" w:hAnsi="仿宋" w:eastAsia="仿宋" w:cs="仿宋"/>
                <w:color w:val="auto"/>
                <w:kern w:val="0"/>
                <w:sz w:val="22"/>
                <w:szCs w:val="22"/>
                <w:shd w:val="clear" w:color="auto" w:fill="auto"/>
              </w:rPr>
              <w:t>合计</w:t>
            </w:r>
          </w:p>
        </w:tc>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color w:val="auto"/>
                <w:kern w:val="0"/>
                <w:sz w:val="22"/>
                <w:szCs w:val="22"/>
                <w:shd w:val="clear" w:color="auto" w:fill="auto"/>
              </w:rPr>
            </w:pPr>
            <w:r>
              <w:rPr>
                <w:rFonts w:hint="eastAsia" w:ascii="仿宋" w:hAnsi="仿宋" w:eastAsia="仿宋" w:cs="仿宋"/>
                <w:b w:val="0"/>
                <w:bCs/>
                <w:i w:val="0"/>
                <w:color w:val="auto"/>
                <w:kern w:val="0"/>
                <w:sz w:val="22"/>
                <w:szCs w:val="22"/>
                <w:u w:val="none"/>
                <w:shd w:val="clear" w:color="auto" w:fill="auto"/>
                <w:lang w:val="en-US" w:eastAsia="zh-CN" w:bidi="ar"/>
              </w:rPr>
              <w:t>3,921.10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color w:val="auto"/>
                <w:kern w:val="0"/>
                <w:sz w:val="22"/>
                <w:szCs w:val="22"/>
                <w:shd w:val="clear" w:color="auto" w:fill="auto"/>
              </w:rPr>
            </w:pPr>
            <w:r>
              <w:rPr>
                <w:rFonts w:hint="eastAsia" w:ascii="仿宋" w:hAnsi="仿宋" w:eastAsia="仿宋" w:cs="仿宋"/>
                <w:b w:val="0"/>
                <w:bCs/>
                <w:i w:val="0"/>
                <w:color w:val="auto"/>
                <w:kern w:val="0"/>
                <w:sz w:val="22"/>
                <w:szCs w:val="22"/>
                <w:u w:val="none"/>
                <w:shd w:val="clear" w:color="auto" w:fill="auto"/>
                <w:lang w:val="en-US" w:eastAsia="zh-CN" w:bidi="ar"/>
              </w:rPr>
              <w:t>2,165.49</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color w:val="auto"/>
                <w:kern w:val="0"/>
                <w:sz w:val="22"/>
                <w:szCs w:val="22"/>
                <w:shd w:val="clear" w:color="auto" w:fill="auto"/>
              </w:rPr>
            </w:pPr>
            <w:r>
              <w:rPr>
                <w:rFonts w:hint="eastAsia" w:ascii="仿宋" w:hAnsi="仿宋" w:eastAsia="仿宋" w:cs="仿宋"/>
                <w:b w:val="0"/>
                <w:bCs/>
                <w:i w:val="0"/>
                <w:color w:val="auto"/>
                <w:kern w:val="0"/>
                <w:sz w:val="22"/>
                <w:szCs w:val="22"/>
                <w:u w:val="none"/>
                <w:shd w:val="clear" w:color="auto" w:fill="auto"/>
                <w:lang w:val="en-US" w:eastAsia="zh-CN" w:bidi="ar"/>
              </w:rPr>
              <w:t>1,755.60</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color w:val="auto"/>
                <w:kern w:val="0"/>
                <w:sz w:val="22"/>
                <w:szCs w:val="22"/>
                <w:shd w:val="clear" w:color="auto" w:fill="auto"/>
              </w:rPr>
            </w:pPr>
            <w:r>
              <w:rPr>
                <w:rFonts w:hint="eastAsia" w:ascii="仿宋" w:hAnsi="仿宋" w:eastAsia="仿宋" w:cs="仿宋"/>
                <w:color w:val="auto"/>
                <w:kern w:val="0"/>
                <w:sz w:val="22"/>
                <w:szCs w:val="22"/>
                <w:shd w:val="clear" w:color="auto" w:fill="auto"/>
              </w:rPr>
              <w:t>　</w:t>
            </w: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color w:val="auto"/>
                <w:kern w:val="0"/>
                <w:sz w:val="22"/>
                <w:szCs w:val="22"/>
                <w:shd w:val="clear" w:color="auto" w:fill="auto"/>
              </w:rPr>
            </w:pPr>
            <w:r>
              <w:rPr>
                <w:rFonts w:hint="eastAsia" w:ascii="仿宋" w:hAnsi="仿宋" w:eastAsia="仿宋" w:cs="仿宋"/>
                <w:color w:val="auto"/>
                <w:kern w:val="0"/>
                <w:sz w:val="22"/>
                <w:szCs w:val="22"/>
                <w:shd w:val="clear" w:color="auto" w:fill="auto"/>
              </w:rPr>
              <w:t>　</w:t>
            </w:r>
          </w:p>
        </w:tc>
        <w:tc>
          <w:tcPr>
            <w:tcW w:w="244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kern w:val="0"/>
                <w:sz w:val="22"/>
                <w:szCs w:val="22"/>
              </w:rPr>
            </w:pPr>
            <w:r>
              <w:rPr>
                <w:rFonts w:hint="eastAsia" w:ascii="仿宋" w:hAnsi="仿宋" w:eastAsia="仿宋" w:cs="仿宋"/>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223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2011101</w:t>
            </w:r>
          </w:p>
        </w:tc>
        <w:tc>
          <w:tcPr>
            <w:tcW w:w="249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行政运行</w:t>
            </w:r>
          </w:p>
        </w:tc>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1,874.20</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1,874.20</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仿宋"/>
                <w:color w:val="auto"/>
                <w:kern w:val="0"/>
                <w:sz w:val="22"/>
                <w:szCs w:val="22"/>
                <w:shd w:val="clear" w:color="auto" w:fill="auto"/>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color w:val="auto"/>
                <w:kern w:val="0"/>
                <w:sz w:val="22"/>
                <w:szCs w:val="22"/>
                <w:shd w:val="clear" w:color="auto" w:fill="auto"/>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color w:val="auto"/>
                <w:kern w:val="0"/>
                <w:sz w:val="22"/>
                <w:szCs w:val="22"/>
                <w:shd w:val="clear" w:color="auto" w:fill="auto"/>
              </w:rPr>
            </w:pPr>
            <w:r>
              <w:rPr>
                <w:rFonts w:hint="eastAsia" w:ascii="仿宋" w:hAnsi="仿宋" w:eastAsia="仿宋" w:cs="仿宋"/>
                <w:color w:val="auto"/>
                <w:kern w:val="0"/>
                <w:sz w:val="22"/>
                <w:szCs w:val="22"/>
                <w:shd w:val="clear" w:color="auto" w:fill="auto"/>
              </w:rPr>
              <w:t>　</w:t>
            </w:r>
          </w:p>
        </w:tc>
        <w:tc>
          <w:tcPr>
            <w:tcW w:w="244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kern w:val="0"/>
                <w:sz w:val="22"/>
                <w:szCs w:val="22"/>
              </w:rPr>
            </w:pPr>
            <w:r>
              <w:rPr>
                <w:rFonts w:hint="eastAsia" w:ascii="仿宋" w:hAnsi="仿宋" w:eastAsia="仿宋" w:cs="仿宋"/>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223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2011102</w:t>
            </w:r>
          </w:p>
        </w:tc>
        <w:tc>
          <w:tcPr>
            <w:tcW w:w="249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一般行政管理事务</w:t>
            </w:r>
          </w:p>
        </w:tc>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1,193.57</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仿宋"/>
                <w:color w:val="auto"/>
                <w:kern w:val="0"/>
                <w:sz w:val="22"/>
                <w:szCs w:val="22"/>
                <w:shd w:val="clear" w:color="auto" w:fill="auto"/>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1,193.57</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color w:val="auto"/>
                <w:kern w:val="0"/>
                <w:sz w:val="22"/>
                <w:szCs w:val="22"/>
                <w:shd w:val="clear" w:color="auto" w:fill="auto"/>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color w:val="auto"/>
                <w:kern w:val="0"/>
                <w:sz w:val="22"/>
                <w:szCs w:val="22"/>
                <w:shd w:val="clear" w:color="auto" w:fill="auto"/>
              </w:rPr>
            </w:pPr>
            <w:r>
              <w:rPr>
                <w:rFonts w:hint="eastAsia" w:ascii="仿宋" w:hAnsi="仿宋" w:eastAsia="仿宋" w:cs="仿宋"/>
                <w:color w:val="auto"/>
                <w:kern w:val="0"/>
                <w:sz w:val="22"/>
                <w:szCs w:val="22"/>
                <w:shd w:val="clear" w:color="auto" w:fill="auto"/>
              </w:rPr>
              <w:t>　</w:t>
            </w:r>
          </w:p>
        </w:tc>
        <w:tc>
          <w:tcPr>
            <w:tcW w:w="244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kern w:val="0"/>
                <w:sz w:val="22"/>
                <w:szCs w:val="22"/>
              </w:rPr>
            </w:pPr>
            <w:r>
              <w:rPr>
                <w:rFonts w:hint="eastAsia" w:ascii="仿宋" w:hAnsi="仿宋" w:eastAsia="仿宋" w:cs="仿宋"/>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2232"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2011199</w:t>
            </w:r>
          </w:p>
        </w:tc>
        <w:tc>
          <w:tcPr>
            <w:tcW w:w="249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其他纪检监察事务支出</w:t>
            </w:r>
          </w:p>
        </w:tc>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562.03</w:t>
            </w:r>
          </w:p>
        </w:tc>
        <w:tc>
          <w:tcPr>
            <w:tcW w:w="1305"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仿宋" w:hAnsi="仿宋" w:eastAsia="仿宋" w:cs="仿宋"/>
                <w:color w:val="auto"/>
                <w:kern w:val="0"/>
                <w:sz w:val="22"/>
                <w:szCs w:val="22"/>
                <w:shd w:val="clear" w:color="auto" w:fill="auto"/>
              </w:rPr>
            </w:pP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562.03</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color w:val="auto"/>
                <w:kern w:val="0"/>
                <w:sz w:val="22"/>
                <w:szCs w:val="22"/>
                <w:shd w:val="clear" w:color="auto" w:fill="auto"/>
              </w:rPr>
            </w:pPr>
          </w:p>
        </w:tc>
        <w:tc>
          <w:tcPr>
            <w:tcW w:w="12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color w:val="auto"/>
                <w:kern w:val="0"/>
                <w:sz w:val="22"/>
                <w:szCs w:val="22"/>
                <w:shd w:val="clear" w:color="auto" w:fill="auto"/>
              </w:rPr>
            </w:pPr>
            <w:r>
              <w:rPr>
                <w:rFonts w:hint="eastAsia" w:ascii="仿宋" w:hAnsi="仿宋" w:eastAsia="仿宋" w:cs="仿宋"/>
                <w:color w:val="auto"/>
                <w:kern w:val="0"/>
                <w:sz w:val="22"/>
                <w:szCs w:val="22"/>
                <w:shd w:val="clear" w:color="auto" w:fill="auto"/>
              </w:rPr>
              <w:t>　</w:t>
            </w:r>
          </w:p>
        </w:tc>
        <w:tc>
          <w:tcPr>
            <w:tcW w:w="244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hint="eastAsia" w:ascii="仿宋" w:hAnsi="仿宋" w:eastAsia="仿宋" w:cs="仿宋"/>
                <w:kern w:val="0"/>
                <w:sz w:val="22"/>
                <w:szCs w:val="22"/>
              </w:rPr>
            </w:pPr>
            <w:r>
              <w:rPr>
                <w:rFonts w:hint="eastAsia" w:ascii="仿宋" w:hAnsi="仿宋" w:eastAsia="仿宋" w:cs="仿宋"/>
                <w:kern w:val="0"/>
                <w:sz w:val="22"/>
                <w:szCs w:val="22"/>
              </w:rPr>
              <w:t>　</w:t>
            </w:r>
          </w:p>
        </w:tc>
      </w:tr>
      <w:tr>
        <w:tblPrEx>
          <w:tblLayout w:type="fixed"/>
          <w:tblCellMar>
            <w:top w:w="0" w:type="dxa"/>
            <w:left w:w="108" w:type="dxa"/>
            <w:bottom w:w="0" w:type="dxa"/>
            <w:right w:w="108" w:type="dxa"/>
          </w:tblCellMar>
        </w:tblPrEx>
        <w:trPr>
          <w:trHeight w:val="595" w:hRule="atLeast"/>
          <w:jc w:val="center"/>
        </w:trPr>
        <w:tc>
          <w:tcPr>
            <w:tcW w:w="223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2080505</w:t>
            </w:r>
          </w:p>
        </w:tc>
        <w:tc>
          <w:tcPr>
            <w:tcW w:w="2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机关事业单位基本养老保险缴费支出</w:t>
            </w:r>
          </w:p>
        </w:tc>
        <w:tc>
          <w:tcPr>
            <w:tcW w:w="17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122.76</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122.76</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color w:val="auto"/>
                <w:kern w:val="0"/>
                <w:sz w:val="22"/>
                <w:szCs w:val="22"/>
                <w:shd w:val="clear" w:color="auto" w:fill="auto"/>
              </w:rPr>
            </w:pPr>
          </w:p>
        </w:tc>
        <w:tc>
          <w:tcPr>
            <w:tcW w:w="1365" w:type="dxa"/>
            <w:tcBorders>
              <w:top w:val="single" w:color="auto" w:sz="4" w:space="0"/>
              <w:left w:val="single" w:color="auto" w:sz="4" w:space="0"/>
              <w:bottom w:val="single" w:color="auto" w:sz="4" w:space="0"/>
              <w:right w:val="single" w:color="auto" w:sz="4" w:space="0"/>
            </w:tcBorders>
            <w:vAlign w:val="center"/>
          </w:tcPr>
          <w:p>
            <w:pPr>
              <w:jc w:val="right"/>
              <w:rPr>
                <w:rFonts w:hint="eastAsia" w:ascii="仿宋" w:hAnsi="仿宋" w:eastAsia="仿宋" w:cs="仿宋"/>
                <w:color w:val="auto"/>
                <w:kern w:val="0"/>
                <w:sz w:val="22"/>
                <w:szCs w:val="22"/>
                <w:shd w:val="clear" w:color="auto" w:fill="auto"/>
              </w:rPr>
            </w:pPr>
          </w:p>
        </w:tc>
        <w:tc>
          <w:tcPr>
            <w:tcW w:w="1245" w:type="dxa"/>
            <w:tcBorders>
              <w:top w:val="single" w:color="auto" w:sz="4" w:space="0"/>
              <w:left w:val="single" w:color="auto" w:sz="4" w:space="0"/>
              <w:bottom w:val="single" w:color="auto" w:sz="4" w:space="0"/>
              <w:right w:val="single" w:color="auto" w:sz="4" w:space="0"/>
            </w:tcBorders>
          </w:tcPr>
          <w:p>
            <w:pPr>
              <w:widowControl/>
              <w:jc w:val="right"/>
              <w:rPr>
                <w:rFonts w:hint="eastAsia" w:ascii="仿宋" w:hAnsi="仿宋" w:eastAsia="仿宋" w:cs="仿宋"/>
                <w:color w:val="auto"/>
                <w:kern w:val="0"/>
                <w:sz w:val="22"/>
                <w:szCs w:val="22"/>
                <w:shd w:val="clear" w:color="auto" w:fill="auto"/>
              </w:rPr>
            </w:pPr>
          </w:p>
        </w:tc>
        <w:tc>
          <w:tcPr>
            <w:tcW w:w="2442" w:type="dxa"/>
            <w:tcBorders>
              <w:top w:val="single" w:color="auto" w:sz="4" w:space="0"/>
              <w:left w:val="single" w:color="auto" w:sz="4" w:space="0"/>
              <w:bottom w:val="single" w:color="auto" w:sz="4" w:space="0"/>
              <w:right w:val="single" w:color="auto" w:sz="4" w:space="0"/>
            </w:tcBorders>
          </w:tcPr>
          <w:p>
            <w:pPr>
              <w:widowControl/>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595" w:hRule="atLeast"/>
          <w:jc w:val="center"/>
        </w:trPr>
        <w:tc>
          <w:tcPr>
            <w:tcW w:w="223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2101101</w:t>
            </w:r>
          </w:p>
        </w:tc>
        <w:tc>
          <w:tcPr>
            <w:tcW w:w="2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行政单位医疗</w:t>
            </w:r>
          </w:p>
        </w:tc>
        <w:tc>
          <w:tcPr>
            <w:tcW w:w="17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63.54</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63.54</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color w:val="auto"/>
                <w:kern w:val="0"/>
                <w:sz w:val="22"/>
                <w:szCs w:val="22"/>
                <w:shd w:val="clear" w:color="auto" w:fill="auto"/>
              </w:rPr>
            </w:pPr>
          </w:p>
        </w:tc>
        <w:tc>
          <w:tcPr>
            <w:tcW w:w="1365" w:type="dxa"/>
            <w:tcBorders>
              <w:top w:val="single" w:color="auto" w:sz="4" w:space="0"/>
              <w:left w:val="single" w:color="auto" w:sz="4" w:space="0"/>
              <w:bottom w:val="single" w:color="auto" w:sz="4" w:space="0"/>
              <w:right w:val="single" w:color="auto" w:sz="4" w:space="0"/>
            </w:tcBorders>
            <w:vAlign w:val="center"/>
          </w:tcPr>
          <w:p>
            <w:pPr>
              <w:jc w:val="right"/>
              <w:rPr>
                <w:rFonts w:hint="eastAsia" w:ascii="仿宋" w:hAnsi="仿宋" w:eastAsia="仿宋" w:cs="仿宋"/>
                <w:color w:val="auto"/>
                <w:kern w:val="0"/>
                <w:sz w:val="22"/>
                <w:szCs w:val="22"/>
                <w:shd w:val="clear" w:color="auto" w:fill="auto"/>
              </w:rPr>
            </w:pPr>
          </w:p>
        </w:tc>
        <w:tc>
          <w:tcPr>
            <w:tcW w:w="1245" w:type="dxa"/>
            <w:tcBorders>
              <w:top w:val="single" w:color="auto" w:sz="4" w:space="0"/>
              <w:left w:val="single" w:color="auto" w:sz="4" w:space="0"/>
              <w:bottom w:val="single" w:color="auto" w:sz="4" w:space="0"/>
              <w:right w:val="single" w:color="auto" w:sz="4" w:space="0"/>
            </w:tcBorders>
          </w:tcPr>
          <w:p>
            <w:pPr>
              <w:widowControl/>
              <w:jc w:val="right"/>
              <w:rPr>
                <w:rFonts w:hint="eastAsia" w:ascii="仿宋" w:hAnsi="仿宋" w:eastAsia="仿宋" w:cs="仿宋"/>
                <w:color w:val="auto"/>
                <w:kern w:val="0"/>
                <w:sz w:val="22"/>
                <w:szCs w:val="22"/>
                <w:shd w:val="clear" w:color="auto" w:fill="auto"/>
              </w:rPr>
            </w:pPr>
          </w:p>
        </w:tc>
        <w:tc>
          <w:tcPr>
            <w:tcW w:w="2442" w:type="dxa"/>
            <w:tcBorders>
              <w:top w:val="single" w:color="auto" w:sz="4" w:space="0"/>
              <w:left w:val="single" w:color="auto" w:sz="4" w:space="0"/>
              <w:bottom w:val="single" w:color="auto" w:sz="4" w:space="0"/>
              <w:right w:val="single" w:color="auto" w:sz="4" w:space="0"/>
            </w:tcBorders>
          </w:tcPr>
          <w:p>
            <w:pPr>
              <w:widowControl/>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595" w:hRule="atLeast"/>
          <w:jc w:val="center"/>
        </w:trPr>
        <w:tc>
          <w:tcPr>
            <w:tcW w:w="2232"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2210201</w:t>
            </w:r>
          </w:p>
        </w:tc>
        <w:tc>
          <w:tcPr>
            <w:tcW w:w="249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住房公积金</w:t>
            </w:r>
          </w:p>
        </w:tc>
        <w:tc>
          <w:tcPr>
            <w:tcW w:w="177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104.99</w:t>
            </w:r>
          </w:p>
        </w:tc>
        <w:tc>
          <w:tcPr>
            <w:tcW w:w="130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 w:hAnsi="仿宋" w:eastAsia="仿宋" w:cs="仿宋"/>
                <w:color w:val="auto"/>
                <w:kern w:val="0"/>
                <w:sz w:val="22"/>
                <w:szCs w:val="22"/>
                <w:shd w:val="clear" w:color="auto" w:fill="auto"/>
              </w:rPr>
            </w:pPr>
            <w:r>
              <w:rPr>
                <w:rFonts w:hint="eastAsia" w:ascii="仿宋" w:hAnsi="仿宋" w:eastAsia="仿宋" w:cs="仿宋"/>
                <w:i w:val="0"/>
                <w:color w:val="auto"/>
                <w:kern w:val="0"/>
                <w:sz w:val="22"/>
                <w:szCs w:val="22"/>
                <w:u w:val="none"/>
                <w:shd w:val="clear" w:color="auto" w:fill="auto"/>
                <w:lang w:val="en-US" w:eastAsia="zh-CN" w:bidi="ar"/>
              </w:rPr>
              <w:t>104.99</w:t>
            </w:r>
          </w:p>
        </w:tc>
        <w:tc>
          <w:tcPr>
            <w:tcW w:w="136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color w:val="auto"/>
                <w:kern w:val="0"/>
                <w:sz w:val="22"/>
                <w:szCs w:val="22"/>
                <w:shd w:val="clear" w:color="auto" w:fill="auto"/>
              </w:rPr>
            </w:pPr>
          </w:p>
        </w:tc>
        <w:tc>
          <w:tcPr>
            <w:tcW w:w="1365" w:type="dxa"/>
            <w:tcBorders>
              <w:top w:val="single" w:color="auto" w:sz="4" w:space="0"/>
              <w:left w:val="single" w:color="auto" w:sz="4" w:space="0"/>
              <w:bottom w:val="single" w:color="auto" w:sz="4" w:space="0"/>
              <w:right w:val="single" w:color="auto" w:sz="4" w:space="0"/>
            </w:tcBorders>
            <w:vAlign w:val="center"/>
          </w:tcPr>
          <w:p>
            <w:pPr>
              <w:jc w:val="right"/>
              <w:rPr>
                <w:rFonts w:hint="eastAsia" w:ascii="仿宋" w:hAnsi="仿宋" w:eastAsia="仿宋" w:cs="仿宋"/>
                <w:color w:val="auto"/>
                <w:kern w:val="0"/>
                <w:sz w:val="22"/>
                <w:szCs w:val="22"/>
                <w:shd w:val="clear" w:color="auto" w:fill="auto"/>
              </w:rPr>
            </w:pPr>
          </w:p>
        </w:tc>
        <w:tc>
          <w:tcPr>
            <w:tcW w:w="1245" w:type="dxa"/>
            <w:tcBorders>
              <w:top w:val="single" w:color="auto" w:sz="4" w:space="0"/>
              <w:left w:val="single" w:color="auto" w:sz="4" w:space="0"/>
              <w:bottom w:val="single" w:color="auto" w:sz="4" w:space="0"/>
              <w:right w:val="single" w:color="auto" w:sz="4" w:space="0"/>
            </w:tcBorders>
          </w:tcPr>
          <w:p>
            <w:pPr>
              <w:widowControl/>
              <w:jc w:val="right"/>
              <w:rPr>
                <w:rFonts w:hint="eastAsia" w:ascii="仿宋" w:hAnsi="仿宋" w:eastAsia="仿宋" w:cs="仿宋"/>
                <w:color w:val="auto"/>
                <w:kern w:val="0"/>
                <w:sz w:val="22"/>
                <w:szCs w:val="22"/>
                <w:shd w:val="clear" w:color="auto" w:fill="auto"/>
              </w:rPr>
            </w:pPr>
          </w:p>
        </w:tc>
        <w:tc>
          <w:tcPr>
            <w:tcW w:w="2442" w:type="dxa"/>
            <w:tcBorders>
              <w:top w:val="single" w:color="auto" w:sz="4" w:space="0"/>
              <w:left w:val="single" w:color="auto" w:sz="4" w:space="0"/>
              <w:bottom w:val="single" w:color="auto" w:sz="4" w:space="0"/>
              <w:right w:val="single" w:color="auto" w:sz="4" w:space="0"/>
            </w:tcBorders>
          </w:tcPr>
          <w:p>
            <w:pPr>
              <w:widowControl/>
              <w:jc w:val="right"/>
              <w:rPr>
                <w:rFonts w:hint="eastAsia" w:ascii="仿宋" w:hAnsi="仿宋" w:eastAsia="仿宋" w:cs="仿宋"/>
                <w:kern w:val="0"/>
                <w:sz w:val="22"/>
                <w:szCs w:val="22"/>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8"/>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14696" w:type="dxa"/>
        <w:jc w:val="center"/>
        <w:tblInd w:w="0" w:type="dxa"/>
        <w:tblLayout w:type="fixed"/>
        <w:tblCellMar>
          <w:top w:w="0" w:type="dxa"/>
          <w:left w:w="108" w:type="dxa"/>
          <w:bottom w:w="0" w:type="dxa"/>
          <w:right w:w="108" w:type="dxa"/>
        </w:tblCellMar>
      </w:tblPr>
      <w:tblGrid>
        <w:gridCol w:w="3238"/>
        <w:gridCol w:w="765"/>
        <w:gridCol w:w="1260"/>
        <w:gridCol w:w="2687"/>
        <w:gridCol w:w="675"/>
        <w:gridCol w:w="1170"/>
        <w:gridCol w:w="1530"/>
        <w:gridCol w:w="1695"/>
        <w:gridCol w:w="1676"/>
      </w:tblGrid>
      <w:tr>
        <w:tblPrEx>
          <w:tblLayout w:type="fixed"/>
          <w:tblCellMar>
            <w:top w:w="0" w:type="dxa"/>
            <w:left w:w="108" w:type="dxa"/>
            <w:bottom w:w="0" w:type="dxa"/>
            <w:right w:w="108" w:type="dxa"/>
          </w:tblCellMar>
        </w:tblPrEx>
        <w:trPr>
          <w:trHeight w:val="402" w:hRule="atLeast"/>
          <w:jc w:val="center"/>
        </w:trPr>
        <w:tc>
          <w:tcPr>
            <w:tcW w:w="526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433" w:type="dxa"/>
            <w:gridSpan w:val="6"/>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Layout w:type="fixed"/>
          <w:tblCellMar>
            <w:top w:w="0" w:type="dxa"/>
            <w:left w:w="108" w:type="dxa"/>
            <w:bottom w:w="0" w:type="dxa"/>
            <w:right w:w="108" w:type="dxa"/>
          </w:tblCellMar>
        </w:tblPrEx>
        <w:trPr>
          <w:trHeight w:val="630"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8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一、一般公共预算财政拨款</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1</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一、一般公共服务支出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33</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3,629.80 </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3,629.80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二、政府性基金预算财政拨款</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2</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二、外交支出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34</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三、国有资本经营预算财政拨款</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三、国防支出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35</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四、公共安全支出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36</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5</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五、教育支出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37</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6</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六、科学技术支出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38</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7</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七、文化旅游体育与传媒支出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39</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8</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八、社会保障和就业支出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40</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122.76 </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122.76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9</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九、卫生健康支出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41</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63.54 </w:t>
            </w: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63.54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10</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十、节能环保支出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42</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11</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十一、城乡社区支出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43</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12</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十二、农林水支出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44</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13</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十三、交通运输支出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45</w:t>
            </w:r>
          </w:p>
        </w:tc>
        <w:tc>
          <w:tcPr>
            <w:tcW w:w="117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14</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十四、资源勘探工业信息等支出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46</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15</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十五、商业服务业等支出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47</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16</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十六、金融支出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48</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17</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十七、援助其他地区支出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49</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18</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十八、自然资源海洋气象等支出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50</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19</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十九、住房保障支出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51</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104.99 </w:t>
            </w: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104.99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20</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二十、粮油物资储备支出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52</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21</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二十一、国有资本经营预算支出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53</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22</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二十二、灾害防治及应急管理支出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54</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23</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二十三、其他支出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55</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center"/>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24</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二十四、债务还本支出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56</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25</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二十五、债务付息支出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57</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b/>
                <w:bCs/>
                <w:kern w:val="0"/>
                <w:sz w:val="22"/>
                <w:szCs w:val="22"/>
              </w:rPr>
            </w:pP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26</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二十六、抗疫特别国债安排的支出</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58</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b/>
                <w:bCs/>
                <w:kern w:val="0"/>
                <w:sz w:val="22"/>
                <w:szCs w:val="22"/>
              </w:rPr>
            </w:pPr>
            <w:r>
              <w:rPr>
                <w:rFonts w:hint="eastAsia" w:ascii="仿宋" w:hAnsi="仿宋" w:eastAsia="仿宋" w:cs="仿宋"/>
                <w:b/>
                <w:i w:val="0"/>
                <w:color w:val="000000"/>
                <w:kern w:val="0"/>
                <w:sz w:val="22"/>
                <w:szCs w:val="22"/>
                <w:u w:val="none"/>
                <w:lang w:val="en-US" w:eastAsia="zh-CN" w:bidi="ar"/>
              </w:rPr>
              <w:t>本年收入合计</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27</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本年支出合计</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59</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 xml:space="preserve">0.00 </w:t>
            </w: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年初结转和结余</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28</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年末结转和结余</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60</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0.00 </w:t>
            </w: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0.00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 xml:space="preserve">  一般公共预算财政拨款</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29</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i w:val="0"/>
                <w:color w:val="000000"/>
                <w:kern w:val="0"/>
                <w:sz w:val="22"/>
                <w:szCs w:val="22"/>
                <w:u w:val="none"/>
                <w:lang w:val="en-US" w:eastAsia="zh-CN" w:bidi="ar"/>
              </w:rPr>
            </w:pP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61</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 xml:space="preserve">  政府性基金预算财政拨款</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30</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i w:val="0"/>
                <w:color w:val="000000"/>
                <w:kern w:val="0"/>
                <w:sz w:val="22"/>
                <w:szCs w:val="22"/>
                <w:u w:val="none"/>
                <w:lang w:val="en-US" w:eastAsia="zh-CN" w:bidi="ar"/>
              </w:rPr>
            </w:pP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62</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 xml:space="preserve">  国有资本经营预算财政拨款</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31</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kern w:val="0"/>
                <w:sz w:val="22"/>
                <w:szCs w:val="22"/>
              </w:rPr>
            </w:pP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jc w:val="left"/>
              <w:rPr>
                <w:rFonts w:hint="eastAsia" w:ascii="仿宋" w:hAnsi="仿宋" w:eastAsia="仿宋" w:cs="仿宋"/>
                <w:i w:val="0"/>
                <w:color w:val="000000"/>
                <w:kern w:val="0"/>
                <w:sz w:val="22"/>
                <w:szCs w:val="22"/>
                <w:u w:val="none"/>
                <w:lang w:val="en-US" w:eastAsia="zh-CN" w:bidi="ar"/>
              </w:rPr>
            </w:pP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63</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jc w:val="right"/>
              <w:rPr>
                <w:rFonts w:hint="eastAsia" w:ascii="仿宋" w:hAnsi="仿宋" w:eastAsia="仿宋" w:cs="仿宋"/>
                <w:kern w:val="0"/>
                <w:sz w:val="22"/>
                <w:szCs w:val="22"/>
              </w:rPr>
            </w:pP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r>
      <w:tr>
        <w:tblPrEx>
          <w:tblLayout w:type="fixed"/>
          <w:tblCellMar>
            <w:top w:w="0" w:type="dxa"/>
            <w:left w:w="108" w:type="dxa"/>
            <w:bottom w:w="0" w:type="dxa"/>
            <w:right w:w="108" w:type="dxa"/>
          </w:tblCellMar>
        </w:tblPrEx>
        <w:trPr>
          <w:trHeight w:val="402" w:hRule="atLeast"/>
          <w:jc w:val="center"/>
        </w:trPr>
        <w:tc>
          <w:tcPr>
            <w:tcW w:w="3238"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b/>
                <w:bCs/>
                <w:kern w:val="0"/>
                <w:sz w:val="22"/>
                <w:szCs w:val="22"/>
              </w:rPr>
            </w:pPr>
            <w:r>
              <w:rPr>
                <w:rFonts w:hint="eastAsia" w:ascii="仿宋" w:hAnsi="仿宋" w:eastAsia="仿宋" w:cs="仿宋"/>
                <w:b/>
                <w:i w:val="0"/>
                <w:color w:val="000000"/>
                <w:kern w:val="0"/>
                <w:sz w:val="22"/>
                <w:szCs w:val="22"/>
                <w:u w:val="none"/>
                <w:lang w:val="en-US" w:eastAsia="zh-CN" w:bidi="ar"/>
              </w:rPr>
              <w:t>总计</w:t>
            </w:r>
          </w:p>
        </w:tc>
        <w:tc>
          <w:tcPr>
            <w:tcW w:w="76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32</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268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b/>
                <w:i w:val="0"/>
                <w:color w:val="000000"/>
                <w:kern w:val="0"/>
                <w:sz w:val="22"/>
                <w:szCs w:val="22"/>
                <w:u w:val="none"/>
                <w:lang w:val="en-US" w:eastAsia="zh-CN" w:bidi="ar"/>
              </w:rPr>
              <w:t>总计</w:t>
            </w:r>
          </w:p>
        </w:tc>
        <w:tc>
          <w:tcPr>
            <w:tcW w:w="675"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widowControl/>
              <w:suppressLineNumbers w:val="0"/>
              <w:jc w:val="center"/>
              <w:textAlignment w:val="center"/>
              <w:rPr>
                <w:rFonts w:hint="eastAsia" w:ascii="仿宋" w:hAnsi="仿宋" w:eastAsia="仿宋" w:cs="仿宋"/>
                <w:i w:val="0"/>
                <w:color w:val="000000"/>
                <w:kern w:val="0"/>
                <w:sz w:val="22"/>
                <w:szCs w:val="22"/>
                <w:u w:val="none"/>
                <w:lang w:val="en-US" w:eastAsia="zh-CN" w:bidi="ar"/>
              </w:rPr>
            </w:pPr>
            <w:r>
              <w:rPr>
                <w:rFonts w:hint="eastAsia" w:ascii="仿宋" w:hAnsi="仿宋" w:eastAsia="仿宋" w:cs="仿宋"/>
                <w:i w:val="0"/>
                <w:color w:val="000000"/>
                <w:kern w:val="0"/>
                <w:sz w:val="22"/>
                <w:szCs w:val="22"/>
                <w:u w:val="none"/>
                <w:lang w:val="en-US" w:eastAsia="zh-CN" w:bidi="ar"/>
              </w:rPr>
              <w:t>64</w:t>
            </w:r>
          </w:p>
        </w:tc>
        <w:tc>
          <w:tcPr>
            <w:tcW w:w="117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1530"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right"/>
              <w:textAlignment w:val="center"/>
              <w:rPr>
                <w:rFonts w:hint="eastAsia" w:ascii="仿宋" w:hAnsi="仿宋" w:eastAsia="仿宋" w:cs="仿宋"/>
                <w:kern w:val="0"/>
                <w:sz w:val="22"/>
                <w:szCs w:val="22"/>
              </w:rPr>
            </w:pPr>
            <w:r>
              <w:rPr>
                <w:rFonts w:hint="eastAsia" w:ascii="仿宋" w:hAnsi="仿宋" w:eastAsia="仿宋" w:cs="仿宋"/>
                <w:i w:val="0"/>
                <w:color w:val="000000"/>
                <w:kern w:val="0"/>
                <w:sz w:val="22"/>
                <w:szCs w:val="22"/>
                <w:u w:val="none"/>
                <w:lang w:val="en-US" w:eastAsia="zh-CN" w:bidi="ar"/>
              </w:rPr>
              <w:t xml:space="preserve">3,921.10 </w:t>
            </w:r>
          </w:p>
        </w:tc>
        <w:tc>
          <w:tcPr>
            <w:tcW w:w="1695"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hint="eastAsia" w:ascii="仿宋" w:hAnsi="仿宋" w:eastAsia="仿宋" w:cs="仿宋"/>
                <w:b/>
                <w:bCs/>
                <w:kern w:val="0"/>
                <w:sz w:val="22"/>
                <w:szCs w:val="22"/>
              </w:rPr>
            </w:pPr>
          </w:p>
        </w:tc>
        <w:tc>
          <w:tcPr>
            <w:tcW w:w="167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仿宋" w:hAnsi="仿宋" w:eastAsia="仿宋" w:cs="仿宋"/>
                <w:b/>
                <w:bCs/>
                <w:kern w:val="0"/>
                <w:sz w:val="22"/>
                <w:szCs w:val="22"/>
              </w:rPr>
            </w:pPr>
            <w:r>
              <w:rPr>
                <w:rFonts w:hint="eastAsia" w:ascii="仿宋" w:hAnsi="仿宋" w:eastAsia="仿宋" w:cs="仿宋"/>
                <w:i w:val="0"/>
                <w:color w:val="000000"/>
                <w:kern w:val="0"/>
                <w:sz w:val="22"/>
                <w:szCs w:val="22"/>
                <w:u w:val="none"/>
                <w:lang w:val="en-US" w:eastAsia="zh-CN" w:bidi="ar"/>
              </w:rPr>
              <w:t xml:space="preserve">0.00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Ind w:w="0" w:type="dxa"/>
        <w:tblLayout w:type="fixed"/>
        <w:tblCellMar>
          <w:top w:w="0" w:type="dxa"/>
          <w:left w:w="108" w:type="dxa"/>
          <w:bottom w:w="0" w:type="dxa"/>
          <w:right w:w="108" w:type="dxa"/>
        </w:tblCellMar>
      </w:tblPr>
      <w:tblGrid>
        <w:gridCol w:w="1200"/>
        <w:gridCol w:w="3885"/>
        <w:gridCol w:w="2760"/>
        <w:gridCol w:w="3374"/>
        <w:gridCol w:w="3000"/>
      </w:tblGrid>
      <w:tr>
        <w:tblPrEx>
          <w:tblLayout w:type="fixed"/>
          <w:tblCellMar>
            <w:top w:w="0" w:type="dxa"/>
            <w:left w:w="108" w:type="dxa"/>
            <w:bottom w:w="0" w:type="dxa"/>
            <w:right w:w="108" w:type="dxa"/>
          </w:tblCellMar>
        </w:tblPrEx>
        <w:trPr>
          <w:trHeight w:val="545" w:hRule="atLeast"/>
          <w:jc w:val="center"/>
        </w:trPr>
        <w:tc>
          <w:tcPr>
            <w:tcW w:w="508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34"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8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6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374"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8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6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7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85"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76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374"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508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6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374"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508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6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val="0"/>
                <w:bCs/>
                <w:kern w:val="0"/>
                <w:szCs w:val="21"/>
              </w:rPr>
            </w:pPr>
            <w:r>
              <w:rPr>
                <w:rFonts w:hint="eastAsia" w:ascii="宋体" w:hAnsi="宋体" w:eastAsia="宋体" w:cs="宋体"/>
                <w:b w:val="0"/>
                <w:bCs/>
                <w:i w:val="0"/>
                <w:color w:val="000000"/>
                <w:kern w:val="0"/>
                <w:sz w:val="22"/>
                <w:szCs w:val="22"/>
                <w:u w:val="none"/>
                <w:lang w:val="en-US" w:eastAsia="zh-CN" w:bidi="ar"/>
              </w:rPr>
              <w:t xml:space="preserve">3,921.10 </w:t>
            </w:r>
          </w:p>
        </w:tc>
        <w:tc>
          <w:tcPr>
            <w:tcW w:w="33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val="0"/>
                <w:bCs/>
                <w:kern w:val="0"/>
                <w:szCs w:val="21"/>
              </w:rPr>
            </w:pPr>
            <w:r>
              <w:rPr>
                <w:rFonts w:hint="eastAsia" w:ascii="宋体" w:hAnsi="宋体" w:eastAsia="宋体" w:cs="宋体"/>
                <w:b w:val="0"/>
                <w:bCs/>
                <w:i w:val="0"/>
                <w:color w:val="000000"/>
                <w:kern w:val="0"/>
                <w:sz w:val="22"/>
                <w:szCs w:val="22"/>
                <w:u w:val="none"/>
                <w:lang w:val="en-US" w:eastAsia="zh-CN" w:bidi="ar"/>
              </w:rPr>
              <w:t xml:space="preserve">2,165.49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val="0"/>
                <w:bCs/>
                <w:kern w:val="0"/>
                <w:szCs w:val="21"/>
              </w:rPr>
            </w:pPr>
            <w:r>
              <w:rPr>
                <w:rFonts w:hint="eastAsia" w:ascii="宋体" w:hAnsi="宋体" w:eastAsia="宋体" w:cs="宋体"/>
                <w:b w:val="0"/>
                <w:bCs/>
                <w:i w:val="0"/>
                <w:color w:val="000000"/>
                <w:kern w:val="0"/>
                <w:sz w:val="22"/>
                <w:szCs w:val="22"/>
                <w:u w:val="none"/>
                <w:lang w:val="en-US" w:eastAsia="zh-CN" w:bidi="ar"/>
              </w:rPr>
              <w:t xml:space="preserve">1,755.60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2011101</w:t>
            </w:r>
          </w:p>
        </w:tc>
        <w:tc>
          <w:tcPr>
            <w:tcW w:w="38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276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1,874.20 </w:t>
            </w:r>
          </w:p>
        </w:tc>
        <w:tc>
          <w:tcPr>
            <w:tcW w:w="33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1,874.20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2011102</w:t>
            </w:r>
          </w:p>
        </w:tc>
        <w:tc>
          <w:tcPr>
            <w:tcW w:w="38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一般行政管理事务</w:t>
            </w:r>
          </w:p>
        </w:tc>
        <w:tc>
          <w:tcPr>
            <w:tcW w:w="276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1,193.57 </w:t>
            </w:r>
          </w:p>
        </w:tc>
        <w:tc>
          <w:tcPr>
            <w:tcW w:w="337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1,193.57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2011199</w:t>
            </w:r>
          </w:p>
        </w:tc>
        <w:tc>
          <w:tcPr>
            <w:tcW w:w="38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其他纪检监察事务支出</w:t>
            </w:r>
          </w:p>
        </w:tc>
        <w:tc>
          <w:tcPr>
            <w:tcW w:w="276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562.03 </w:t>
            </w:r>
          </w:p>
        </w:tc>
        <w:tc>
          <w:tcPr>
            <w:tcW w:w="3374"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562.03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8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276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122.76 </w:t>
            </w:r>
          </w:p>
        </w:tc>
        <w:tc>
          <w:tcPr>
            <w:tcW w:w="33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122.76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885"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276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63.54 </w:t>
            </w:r>
          </w:p>
        </w:tc>
        <w:tc>
          <w:tcPr>
            <w:tcW w:w="3374"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63.54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2210201</w:t>
            </w:r>
          </w:p>
        </w:tc>
        <w:tc>
          <w:tcPr>
            <w:tcW w:w="3885"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住房公积金</w:t>
            </w:r>
          </w:p>
        </w:tc>
        <w:tc>
          <w:tcPr>
            <w:tcW w:w="276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104.99 </w:t>
            </w:r>
          </w:p>
        </w:tc>
        <w:tc>
          <w:tcPr>
            <w:tcW w:w="3374"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104.99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 xml:space="preserve">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2"/>
          <w:szCs w:val="32"/>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auto"/>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right"/>
        <w:outlineLvl w:val="9"/>
        <w:rPr>
          <w:rFonts w:ascii="Times New Roman" w:hAnsi="Times New Roman" w:eastAsia="华文中宋" w:cs="Times New Roman"/>
          <w:color w:val="auto"/>
          <w:kern w:val="0"/>
          <w:szCs w:val="32"/>
        </w:rPr>
      </w:pPr>
      <w:r>
        <w:rPr>
          <w:rFonts w:ascii="Times New Roman" w:hAnsi="Times New Roman" w:eastAsia="仿宋_GB2312" w:cs="Times New Roman"/>
          <w:color w:val="auto"/>
          <w:kern w:val="0"/>
          <w:szCs w:val="21"/>
        </w:rPr>
        <w:t>单位：万元</w:t>
      </w:r>
    </w:p>
    <w:tbl>
      <w:tblPr>
        <w:tblStyle w:val="11"/>
        <w:tblW w:w="14610" w:type="dxa"/>
        <w:jc w:val="center"/>
        <w:tblInd w:w="0" w:type="dxa"/>
        <w:tblLayout w:type="fixed"/>
        <w:tblCellMar>
          <w:top w:w="0" w:type="dxa"/>
          <w:left w:w="108" w:type="dxa"/>
          <w:bottom w:w="0" w:type="dxa"/>
          <w:right w:w="108" w:type="dxa"/>
        </w:tblCellMar>
      </w:tblPr>
      <w:tblGrid>
        <w:gridCol w:w="1254"/>
        <w:gridCol w:w="3367"/>
        <w:gridCol w:w="1175"/>
        <w:gridCol w:w="1131"/>
        <w:gridCol w:w="2221"/>
        <w:gridCol w:w="960"/>
        <w:gridCol w:w="1074"/>
        <w:gridCol w:w="2507"/>
        <w:gridCol w:w="921"/>
      </w:tblGrid>
      <w:tr>
        <w:tblPrEx>
          <w:tblLayout w:type="fixed"/>
          <w:tblCellMar>
            <w:top w:w="0" w:type="dxa"/>
            <w:left w:w="108" w:type="dxa"/>
            <w:bottom w:w="0" w:type="dxa"/>
            <w:right w:w="108" w:type="dxa"/>
          </w:tblCellMar>
        </w:tblPrEx>
        <w:trPr>
          <w:trHeight w:val="530" w:hRule="atLeast"/>
          <w:jc w:val="center"/>
        </w:trPr>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 w:val="20"/>
                <w:szCs w:val="20"/>
              </w:rPr>
              <w:t>经济分类科目编码</w:t>
            </w:r>
          </w:p>
        </w:tc>
        <w:tc>
          <w:tcPr>
            <w:tcW w:w="33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经济分类科目编码</w:t>
            </w:r>
          </w:p>
        </w:tc>
        <w:tc>
          <w:tcPr>
            <w:tcW w:w="22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经济分类科目编码</w:t>
            </w:r>
          </w:p>
        </w:tc>
        <w:tc>
          <w:tcPr>
            <w:tcW w:w="25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科目名称</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ascii="Times New Roman" w:hAnsi="Times New Roman" w:eastAsia="仿宋_GB2312" w:cs="Times New Roman"/>
                <w:b/>
                <w:bCs/>
                <w:color w:val="auto"/>
                <w:kern w:val="0"/>
                <w:szCs w:val="20"/>
              </w:rPr>
            </w:pPr>
            <w:r>
              <w:rPr>
                <w:rFonts w:ascii="Times New Roman" w:hAnsi="Times New Roman" w:eastAsia="仿宋_GB2312" w:cs="Times New Roman"/>
                <w:b/>
                <w:bCs/>
                <w:color w:val="auto"/>
                <w:kern w:val="0"/>
                <w:szCs w:val="20"/>
              </w:rPr>
              <w:t>决算数</w:t>
            </w: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工资福利支出</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1,686.95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商品和服务支出</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443.93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307</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债务利息及费用支出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30101</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基本工资</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560.39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30201</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办公费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60.71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30701</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国内债务付息</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30102</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津贴补贴</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283.71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30202</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印刷费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2.61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30702</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国外债务付息</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30103</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奖金</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69.71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30204</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手续费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资本性支出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30106</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伙食补助费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87.76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30205</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水费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8.10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31001</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房屋建筑物购建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0"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30107</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绩效工资</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191.58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30206</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电费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14.90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31002</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办公设备购置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30108</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机关事业单位基本养老保险缴费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160.56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30207</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邮电费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7.89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31003</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专用设备购置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30109</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职业年金缴费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4.34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30208</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取暖费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31005</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基础设施建设</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30110</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职工基本医疗保险缴费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97.83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30209</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物业管理费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37.80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31006</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大型修缮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30111</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公务员医疗补助缴费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30211</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差旅费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6.92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31007</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信息网络及软件购置更新</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30112</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其他社会保障缴费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19.33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30212</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因公出国（境）费用</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31008</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物资储备</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30113</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住房公积金</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161.59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30213</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维修（护）费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27.95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31009</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土地补偿</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30114</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医疗费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30214</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租赁费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31010</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安置补助</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30199</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其他工资福利支出</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50.16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30215</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会议费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4.32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31011</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地上附着物和青苗补偿</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370"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对个人和家庭的补助</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34.61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30216</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培训费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3.74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31012</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拆迁补偿</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30301</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离休费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30217</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公务接待费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0.19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31013</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公务用车购置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30302</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退休费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10.53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30218</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专用材料费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31019</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其他交通工具购置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30303</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退职（役）费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30224</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被装购置费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31021</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文物和陈列品购置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30304</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抚恤金</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30225</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专用燃料费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31022</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无形资产购置</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30305</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生活补助</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18.56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30226</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劳务费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31099</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其他资本性支出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30306</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救济费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30227</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委托业务费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399</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其他支出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30307</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医疗费补助</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30228</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工会经费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112.56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39907</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国家赔偿费用支出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30308</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助学金</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30229</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福利费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13.04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39908</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对民间非营利组织和群众性自治组织补贴</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30309</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奖励金</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30231</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公务用车运行维护费</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19.98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39909</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经常性赠与</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30310</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个人农业生产补贴</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30239</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其他交通费用</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77.63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39910</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资本性赠与</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30311</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代缴社会保险费</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30240</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税金及附加费用</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39999</w:t>
            </w: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其他支出</w:t>
            </w: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125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30399</w:t>
            </w:r>
          </w:p>
        </w:tc>
        <w:tc>
          <w:tcPr>
            <w:tcW w:w="336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其他对个人和家庭的补助</w:t>
            </w:r>
          </w:p>
        </w:tc>
        <w:tc>
          <w:tcPr>
            <w:tcW w:w="11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5.53 </w:t>
            </w:r>
          </w:p>
        </w:tc>
        <w:tc>
          <w:tcPr>
            <w:tcW w:w="113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30299</w:t>
            </w:r>
          </w:p>
        </w:tc>
        <w:tc>
          <w:tcPr>
            <w:tcW w:w="2221"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lef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  其他商品和服务支出</w:t>
            </w:r>
          </w:p>
        </w:tc>
        <w:tc>
          <w:tcPr>
            <w:tcW w:w="9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45.58 </w:t>
            </w:r>
          </w:p>
        </w:tc>
        <w:tc>
          <w:tcPr>
            <w:tcW w:w="1074"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left"/>
              <w:outlineLvl w:val="9"/>
              <w:rPr>
                <w:rFonts w:ascii="Times New Roman" w:hAnsi="Times New Roman" w:eastAsia="仿宋_GB2312" w:cs="Times New Roman"/>
                <w:color w:val="auto"/>
                <w:kern w:val="0"/>
                <w:szCs w:val="18"/>
              </w:rPr>
            </w:pPr>
          </w:p>
        </w:tc>
        <w:tc>
          <w:tcPr>
            <w:tcW w:w="2507" w:type="dxa"/>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left"/>
              <w:outlineLvl w:val="9"/>
              <w:rPr>
                <w:rFonts w:ascii="Times New Roman" w:hAnsi="Times New Roman" w:eastAsia="仿宋_GB2312" w:cs="Times New Roman"/>
                <w:color w:val="auto"/>
                <w:kern w:val="0"/>
                <w:szCs w:val="18"/>
              </w:rPr>
            </w:pPr>
          </w:p>
        </w:tc>
        <w:tc>
          <w:tcPr>
            <w:tcW w:w="92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before="0" w:beforeLines="0" w:after="0" w:afterLines="0"/>
              <w:ind w:left="0" w:leftChars="0" w:right="0" w:rightChars="0" w:firstLine="0" w:firstLineChars="0"/>
              <w:jc w:val="right"/>
              <w:outlineLvl w:val="9"/>
              <w:rPr>
                <w:rFonts w:ascii="Times New Roman" w:hAnsi="Times New Roman" w:eastAsia="仿宋_GB2312" w:cs="Times New Roman"/>
                <w:color w:val="auto"/>
                <w:kern w:val="0"/>
                <w:szCs w:val="20"/>
              </w:rPr>
            </w:pPr>
          </w:p>
        </w:tc>
      </w:tr>
      <w:tr>
        <w:tblPrEx>
          <w:tblLayout w:type="fixed"/>
          <w:tblCellMar>
            <w:top w:w="0" w:type="dxa"/>
            <w:left w:w="108" w:type="dxa"/>
            <w:bottom w:w="0" w:type="dxa"/>
            <w:right w:w="108" w:type="dxa"/>
          </w:tblCellMar>
        </w:tblPrEx>
        <w:trPr>
          <w:trHeight w:val="255" w:hRule="exact"/>
          <w:jc w:val="center"/>
        </w:trPr>
        <w:tc>
          <w:tcPr>
            <w:tcW w:w="4621" w:type="dxa"/>
            <w:gridSpan w:val="2"/>
            <w:tcBorders>
              <w:top w:val="single" w:color="auto" w:sz="4" w:space="0"/>
              <w:left w:val="single" w:color="auto" w:sz="4" w:space="0"/>
              <w:bottom w:val="single" w:color="auto" w:sz="4" w:space="0"/>
              <w:right w:val="single" w:color="auto" w:sz="4" w:space="0"/>
            </w:tcBorders>
            <w:shd w:val="clear" w:color="auto" w:fill="F1F1F1"/>
            <w:vAlign w:val="center"/>
          </w:tcPr>
          <w:p>
            <w:pPr>
              <w:jc w:val="center"/>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人员经费合计</w:t>
            </w:r>
          </w:p>
        </w:tc>
        <w:tc>
          <w:tcPr>
            <w:tcW w:w="117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20"/>
              </w:rPr>
            </w:pPr>
            <w:r>
              <w:rPr>
                <w:rFonts w:hint="eastAsia" w:ascii="宋体" w:hAnsi="宋体" w:eastAsia="宋体" w:cs="宋体"/>
                <w:i w:val="0"/>
                <w:color w:val="auto"/>
                <w:kern w:val="0"/>
                <w:sz w:val="22"/>
                <w:szCs w:val="22"/>
                <w:u w:val="none"/>
                <w:lang w:val="en-US" w:eastAsia="zh-CN" w:bidi="ar"/>
              </w:rPr>
              <w:t xml:space="preserve">1,721.57 </w:t>
            </w:r>
          </w:p>
        </w:tc>
        <w:tc>
          <w:tcPr>
            <w:tcW w:w="7893" w:type="dxa"/>
            <w:gridSpan w:val="5"/>
            <w:tcBorders>
              <w:top w:val="single" w:color="auto" w:sz="4" w:space="0"/>
              <w:left w:val="single" w:color="auto" w:sz="4" w:space="0"/>
              <w:bottom w:val="single" w:color="auto" w:sz="4" w:space="0"/>
              <w:right w:val="single" w:color="auto" w:sz="4" w:space="0"/>
            </w:tcBorders>
            <w:shd w:val="clear" w:color="auto" w:fill="F1F1F1"/>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outlineLvl w:val="9"/>
              <w:rPr>
                <w:color w:val="auto"/>
              </w:rPr>
            </w:pPr>
            <w:r>
              <w:rPr>
                <w:rFonts w:hint="eastAsia" w:ascii="宋体" w:hAnsi="宋体" w:eastAsia="宋体" w:cs="宋体"/>
                <w:i w:val="0"/>
                <w:color w:val="auto"/>
                <w:kern w:val="0"/>
                <w:sz w:val="22"/>
                <w:szCs w:val="22"/>
                <w:u w:val="none"/>
                <w:lang w:val="en-US" w:eastAsia="zh-CN" w:bidi="ar"/>
              </w:rPr>
              <w:t>公用经费合计</w:t>
            </w:r>
          </w:p>
        </w:tc>
        <w:tc>
          <w:tcPr>
            <w:tcW w:w="92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right"/>
              <w:textAlignment w:val="center"/>
              <w:outlineLvl w:val="9"/>
              <w:rPr>
                <w:rFonts w:ascii="Times New Roman" w:hAnsi="Times New Roman" w:eastAsia="仿宋_GB2312" w:cs="Times New Roman"/>
                <w:color w:val="auto"/>
                <w:kern w:val="0"/>
                <w:szCs w:val="18"/>
              </w:rPr>
            </w:pPr>
            <w:r>
              <w:rPr>
                <w:rFonts w:hint="eastAsia" w:ascii="宋体" w:hAnsi="宋体" w:eastAsia="宋体" w:cs="宋体"/>
                <w:i w:val="0"/>
                <w:color w:val="auto"/>
                <w:kern w:val="0"/>
                <w:sz w:val="22"/>
                <w:szCs w:val="22"/>
                <w:u w:val="none"/>
                <w:lang w:val="en-US" w:eastAsia="zh-CN" w:bidi="ar"/>
              </w:rPr>
              <w:t xml:space="preserve">443.93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Ind w:w="0" w:type="dxa"/>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Layout w:type="fixed"/>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Layout w:type="fixed"/>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Layout w:type="fixed"/>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Layout w:type="fixed"/>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Layout w:type="fixed"/>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Layout w:type="fixed"/>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Layout w:type="fixed"/>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14544" w:type="dxa"/>
        <w:jc w:val="center"/>
        <w:tblInd w:w="0" w:type="dxa"/>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Layout w:type="fixed"/>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Layout w:type="fixed"/>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Layout w:type="fixed"/>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Layout w:type="fixed"/>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Layout w:type="fixed"/>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24.00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20.00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20.00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4.00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20.18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19.98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19.98</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color w:val="000000"/>
                <w:kern w:val="0"/>
                <w:sz w:val="22"/>
                <w:szCs w:val="22"/>
                <w:u w:val="none"/>
                <w:lang w:val="en-US" w:eastAsia="zh-CN" w:bidi="ar"/>
              </w:rPr>
              <w:t>0.19</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841.48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27.32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增加了办案经费和派驻纪检组集中办公大楼的改造费用。</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办案经费、派驻纪检组集中办公大楼改造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2165.49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55.23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1755.60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44.77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841.48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27.32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增加了办案经费和派驻纪检组集中办公大楼的改造费用。</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841.48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27.32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增加了办案经费和派驻纪检组集中办公大楼的改造费用。</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3629.80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92.57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lang w:val="en-US" w:eastAsia="zh-CN"/>
        </w:rPr>
        <w:t>社会保障和就业（类）支出122.76万元，占3.13%；卫生健康（类）支出63.54万元，占1.62%，住房保障（类）支出104.99万元，占2.68%。</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1799.26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217.93</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 xml:space="preserve"> 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1507.97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1874.20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124.29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人员的增加及工资的普调。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 xml:space="preserve"> 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pPr>
        <w:pStyle w:val="14"/>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1193.57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highlight w:val="none"/>
          <w:lang w:val="en-US" w:eastAsia="zh-CN"/>
        </w:rPr>
        <w:t>业务工作项目经费的增加</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lang w:val="en-US" w:eastAsia="zh-CN"/>
        </w:rPr>
        <w:t>其增加支出在预算执行期间通过追加指标完成</w:t>
      </w:r>
      <w:r>
        <w:rPr>
          <w:rFonts w:hint="eastAsia" w:ascii="Times New Roman" w:hAnsi="Times New Roman" w:eastAsia="仿宋_GB2312"/>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 xml:space="preserve"> 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其他纪检监察事务支出</w:t>
      </w:r>
      <w:r>
        <w:rPr>
          <w:rFonts w:ascii="Times New Roman" w:hAnsi="Times New Roman" w:eastAsia="仿宋_GB2312" w:cs="Times New Roman"/>
          <w:sz w:val="32"/>
          <w:szCs w:val="32"/>
        </w:rPr>
        <w:t>（项）。</w:t>
      </w:r>
    </w:p>
    <w:p>
      <w:pPr>
        <w:pStyle w:val="14"/>
        <w:keepNext w:val="0"/>
        <w:keepLines w:val="0"/>
        <w:pageBreakBefore w:val="0"/>
        <w:kinsoku/>
        <w:wordWrap/>
        <w:overflowPunct w:val="0"/>
        <w:topLinePunct w:val="0"/>
        <w:autoSpaceDE/>
        <w:autoSpaceDN/>
        <w:bidi w:val="0"/>
        <w:snapToGrid/>
        <w:spacing w:line="600" w:lineRule="exact"/>
        <w:ind w:firstLine="640" w:firstLineChars="200"/>
        <w:jc w:val="both"/>
        <w:textAlignment w:val="auto"/>
        <w:rPr>
          <w:rFonts w:hint="eastAsia" w:ascii="Times New Roman" w:hAnsi="Times New Roman" w:eastAsia="仿宋_GB2312"/>
          <w:sz w:val="32"/>
          <w:szCs w:val="32"/>
          <w:highlight w:val="none"/>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562.03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highlight w:val="none"/>
          <w:lang w:val="en-US" w:eastAsia="zh-CN"/>
        </w:rPr>
        <w:t>业务工作项目经费的增加</w:t>
      </w:r>
      <w:r>
        <w:rPr>
          <w:rFonts w:hint="eastAsia" w:ascii="Times New Roman" w:hAnsi="Times New Roman" w:eastAsia="仿宋_GB2312"/>
          <w:sz w:val="32"/>
          <w:szCs w:val="32"/>
          <w:highlight w:val="none"/>
          <w:lang w:val="en-US" w:eastAsia="zh-CN"/>
        </w:rPr>
        <w:t>，</w:t>
      </w:r>
      <w:r>
        <w:rPr>
          <w:rFonts w:hint="eastAsia" w:ascii="Times New Roman" w:hAnsi="Times New Roman" w:eastAsia="仿宋_GB2312"/>
          <w:sz w:val="32"/>
          <w:szCs w:val="32"/>
          <w:lang w:val="en-US" w:eastAsia="zh-CN"/>
        </w:rPr>
        <w:t>其增加支出在预算执行期间通过追加指标完成</w:t>
      </w:r>
      <w:r>
        <w:rPr>
          <w:rFonts w:hint="eastAsia" w:ascii="Times New Roman" w:hAnsi="Times New Roman" w:eastAsia="仿宋_GB2312"/>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 xml:space="preserve">  机关事业单位基本养老保险缴费支出</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122.76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122.76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以支定收。</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以支定收。</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 xml:space="preserve"> 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104.99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104.99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以支定收。</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方面的支出规模较大（或占财政拨款支出总额的比重较高），主要是：</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 xml:space="preserve"> 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 xml:space="preserve"> 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lang w:eastAsia="zh-CN"/>
        </w:rPr>
        <w:t>和</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 xml:space="preserve"> 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其他纪检监察事务支出</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25年度一般公共服务（类）支出决算数合计为3,629.80万元，占财政拨款支出总额的92.57%，主要用于纪检监察事务中的行政运行、一般行政管理事务及其他纪检监察事务等方面，重点保障机关日常运转、执纪办案、巡察工作及派驻机构集中办公保障等支出</w:t>
      </w:r>
      <w:r>
        <w:rPr>
          <w:rFonts w:hint="eastAsia" w:ascii="Times New Roman" w:hAnsi="Times New Roman" w:eastAsia="仿宋_GB2312" w:cs="Times New Roman"/>
          <w:sz w:val="32"/>
          <w:szCs w:val="32"/>
          <w:lang w:val="en-US"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2165.49</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1,721.57万元，占基本支出的79.50%，主要包括基本工资、津贴补贴、奖金、伙食补助费、绩效工资、机关事业单位基本养老保险缴费、职工基本医疗保险缴费、住房公积金等</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443.93万元，占基本支出的20.50%，主要包括办公费、印刷费、水电费、邮电费、物业管理费、差旅费、维修（护）费、会议费、培训费、公务接待费、工会经费、福利费、公务用车运行维护费及其他交通费用等。</w:t>
      </w:r>
    </w:p>
    <w:p>
      <w:pPr>
        <w:pStyle w:val="14"/>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4"/>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24.00万元，支出决算为20.18万元，完成预算的84.08%；与上年相比减少</w:t>
      </w:r>
      <w:r>
        <w:rPr>
          <w:rFonts w:hint="eastAsia" w:ascii="Times New Roman" w:hAnsi="Times New Roman" w:eastAsia="仿宋_GB2312" w:cs="Times New Roman"/>
          <w:color w:val="auto"/>
          <w:sz w:val="32"/>
          <w:szCs w:val="32"/>
          <w:highlight w:val="none"/>
          <w:lang w:val="en-US" w:eastAsia="zh-CN"/>
        </w:rPr>
        <w:t>26.88</w:t>
      </w:r>
      <w:r>
        <w:rPr>
          <w:rFonts w:hint="eastAsia" w:ascii="Times New Roman" w:hAnsi="Times New Roman" w:eastAsia="仿宋_GB2312" w:cs="Times New Roman"/>
          <w:sz w:val="32"/>
          <w:szCs w:val="32"/>
          <w:lang w:val="en-US" w:eastAsia="zh-CN"/>
        </w:rPr>
        <w:t>万元，降低57.12%</w:t>
      </w:r>
      <w:r>
        <w:rPr>
          <w:rFonts w:hint="eastAsia" w:ascii="Times New Roman" w:hAnsi="Times New Roman" w:eastAsia="仿宋_GB2312" w:cs="Times New Roman"/>
          <w:sz w:val="32"/>
          <w:szCs w:val="32"/>
        </w:rPr>
        <w:t>。决算数小于预算数的主要原因是：严格落实过紧日子要求，厉行勤俭节约，从严控制因公出国（境）、公务用车和公务接待支出。</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因公出国（境）费支出预算为0万元，支出决算为0万元，完成预算的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%；与上年相比无增减变化。2025年年未安排因公出国（境）团组</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公务用车购置费及运行维护费支出预算为20.00万元，支出决算为19.98万元，完成预算的99.90%；与上年相比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26.72万元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降低</w:t>
      </w:r>
      <w:r>
        <w:rPr>
          <w:rFonts w:hint="eastAsia" w:ascii="Times New Roman" w:hAnsi="Times New Roman" w:eastAsia="仿宋_GB2312" w:cs="Times New Roman"/>
          <w:sz w:val="32"/>
          <w:szCs w:val="32"/>
          <w:highlight w:val="none"/>
          <w:lang w:val="en-US" w:eastAsia="zh-CN"/>
        </w:rPr>
        <w:t>57.22</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公务用车购置费支出预算为0万元，支出决算为0万元，完成预算的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%。本年度未更新购置公务用车。</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公务用车运行维护费支出预算为20.00万元，支出决算为</w:t>
      </w:r>
      <w:r>
        <w:rPr>
          <w:rFonts w:hint="eastAsia" w:ascii="Times New Roman" w:hAnsi="Times New Roman" w:eastAsia="仿宋_GB2312" w:cs="Times New Roman"/>
          <w:sz w:val="32"/>
          <w:szCs w:val="32"/>
          <w:highlight w:val="none"/>
        </w:rPr>
        <w:t>19.98万元，主要用于车辆燃油、维修、保险</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高速通行费</w:t>
      </w:r>
      <w:r>
        <w:rPr>
          <w:rFonts w:hint="eastAsia" w:ascii="Times New Roman" w:hAnsi="Times New Roman" w:eastAsia="仿宋_GB2312" w:cs="Times New Roman"/>
          <w:sz w:val="32"/>
          <w:szCs w:val="32"/>
          <w:highlight w:val="none"/>
        </w:rPr>
        <w:t>及年检等运行维护支出，完成预算的99.90%；与上年相比变化</w:t>
      </w:r>
      <w:r>
        <w:rPr>
          <w:rFonts w:hint="eastAsia" w:ascii="Times New Roman" w:hAnsi="Times New Roman" w:eastAsia="仿宋_GB2312" w:cs="Times New Roman"/>
          <w:sz w:val="32"/>
          <w:szCs w:val="32"/>
          <w:highlight w:val="none"/>
          <w:lang w:eastAsia="zh-CN"/>
        </w:rPr>
        <w:t>减少</w:t>
      </w:r>
      <w:r>
        <w:rPr>
          <w:rFonts w:hint="eastAsia" w:ascii="Times New Roman" w:hAnsi="Times New Roman" w:eastAsia="仿宋_GB2312" w:cs="Times New Roman"/>
          <w:sz w:val="32"/>
          <w:szCs w:val="32"/>
          <w:highlight w:val="none"/>
          <w:lang w:val="en-US" w:eastAsia="zh-CN"/>
        </w:rPr>
        <w:t>3.14万元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降低</w:t>
      </w:r>
      <w:r>
        <w:rPr>
          <w:rFonts w:hint="eastAsia" w:ascii="Times New Roman" w:hAnsi="Times New Roman" w:eastAsia="仿宋_GB2312" w:cs="Times New Roman"/>
          <w:sz w:val="32"/>
          <w:szCs w:val="32"/>
          <w:highlight w:val="none"/>
          <w:lang w:val="en-US" w:eastAsia="zh-CN"/>
        </w:rPr>
        <w:t>13.58</w:t>
      </w:r>
      <w:r>
        <w:rPr>
          <w:rFonts w:ascii="Times New Roman" w:hAnsi="Times New Roman" w:eastAsia="仿宋_GB2312" w:cs="Times New Roman"/>
          <w:sz w:val="32"/>
          <w:szCs w:val="32"/>
          <w:highlight w:val="none"/>
        </w:rPr>
        <w:t>%。决算数</w:t>
      </w:r>
      <w:r>
        <w:rPr>
          <w:rFonts w:hint="eastAsia" w:ascii="Times New Roman" w:hAnsi="Times New Roman" w:eastAsia="仿宋_GB2312" w:cs="Times New Roman"/>
          <w:sz w:val="32"/>
          <w:szCs w:val="32"/>
          <w:highlight w:val="none"/>
          <w:lang w:eastAsia="zh-CN"/>
        </w:rPr>
        <w:t>小于</w:t>
      </w:r>
      <w:r>
        <w:rPr>
          <w:rFonts w:ascii="Times New Roman" w:hAnsi="Times New Roman" w:eastAsia="仿宋_GB2312" w:cs="Times New Roman"/>
          <w:sz w:val="32"/>
          <w:szCs w:val="32"/>
          <w:highlight w:val="none"/>
        </w:rPr>
        <w:t>预算数的主要原因是</w:t>
      </w:r>
      <w:r>
        <w:rPr>
          <w:rFonts w:hint="eastAsia" w:ascii="Times New Roman" w:hAnsi="Times New Roman" w:eastAsia="仿宋_GB2312" w:cs="Times New Roman"/>
          <w:sz w:val="32"/>
          <w:szCs w:val="32"/>
          <w:highlight w:val="none"/>
        </w:rPr>
        <w:t>严格落实过紧日子要求，厉行勤俭节约，从严公务用车支出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rPr>
        <w:t>截止2025年12月31日，我单位开支财政拨款的公务用车保有量为</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公务接待费支出预算为4.00万元，支出决算为0.19万元，完成预算的4.75%；决算数小于预算数的主要原因是：严格执行公务接待管理规定，从严控制接待范围和标准，实际接待支出远低于预算。2025年年共接待来访团组</w:t>
      </w:r>
      <w:r>
        <w:rPr>
          <w:rFonts w:hint="eastAsia" w:ascii="Times New Roman" w:hAnsi="Times New Roman" w:eastAsia="仿宋_GB2312" w:cs="Times New Roman"/>
          <w:sz w:val="32"/>
          <w:szCs w:val="32"/>
          <w:highlight w:val="none"/>
          <w:lang w:val="en-US" w:eastAsia="zh-CN"/>
        </w:rPr>
        <w:t>1</w:t>
      </w:r>
      <w:r>
        <w:rPr>
          <w:rFonts w:hint="eastAsia"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9</w:t>
      </w:r>
      <w:r>
        <w:rPr>
          <w:rFonts w:hint="eastAsia"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eastAsia="zh-CN"/>
        </w:rPr>
        <w:t>中纪委来赫山督导调研</w:t>
      </w:r>
      <w:r>
        <w:rPr>
          <w:rFonts w:hint="eastAsia" w:ascii="Times New Roman" w:hAnsi="Times New Roman" w:eastAsia="仿宋_GB2312" w:cs="Times New Roman"/>
          <w:sz w:val="32"/>
          <w:szCs w:val="32"/>
          <w:highlight w:val="none"/>
        </w:rPr>
        <w:t>发生的接待支出。</w:t>
      </w:r>
    </w:p>
    <w:p>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本单位无政府性基金预算财政拨款收入及支出（详见公开07表）。</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443.93</w:t>
      </w:r>
      <w:r>
        <w:rPr>
          <w:rFonts w:ascii="Times New Roman" w:hAnsi="Times New Roman" w:eastAsia="仿宋_GB2312" w:cs="Times New Roman"/>
          <w:sz w:val="32"/>
          <w:szCs w:val="32"/>
        </w:rPr>
        <w:t>万元，比上年决算数</w:t>
      </w:r>
      <w:r>
        <w:rPr>
          <w:rFonts w:ascii="Times New Roman" w:hAnsi="Times New Roman" w:eastAsia="仿宋_GB2312" w:cs="Times New Roman"/>
          <w:sz w:val="32"/>
          <w:szCs w:val="32"/>
          <w:highlight w:val="none"/>
        </w:rPr>
        <w:t>减少</w:t>
      </w:r>
      <w:r>
        <w:rPr>
          <w:rFonts w:hint="eastAsia" w:ascii="Times New Roman" w:hAnsi="Times New Roman" w:eastAsia="仿宋_GB2312" w:cs="Times New Roman"/>
          <w:sz w:val="32"/>
          <w:szCs w:val="32"/>
          <w:highlight w:val="none"/>
          <w:lang w:val="en-US" w:eastAsia="zh-CN"/>
        </w:rPr>
        <w:t>46.96</w:t>
      </w:r>
      <w:r>
        <w:rPr>
          <w:rFonts w:ascii="Times New Roman" w:hAnsi="Times New Roman" w:eastAsia="仿宋_GB2312" w:cs="Times New Roman"/>
          <w:sz w:val="32"/>
          <w:szCs w:val="32"/>
          <w:highlight w:val="none"/>
        </w:rPr>
        <w:t xml:space="preserve"> 万元，降低</w:t>
      </w:r>
      <w:r>
        <w:rPr>
          <w:rFonts w:hint="eastAsia" w:ascii="Times New Roman" w:hAnsi="Times New Roman" w:eastAsia="仿宋_GB2312" w:cs="Times New Roman"/>
          <w:sz w:val="32"/>
          <w:szCs w:val="32"/>
          <w:highlight w:val="none"/>
          <w:lang w:val="en-US" w:eastAsia="zh-CN"/>
        </w:rPr>
        <w:t>9.57</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rPr>
        <w:t>办公设施设备购置经费减少</w:t>
      </w:r>
      <w:r>
        <w:rPr>
          <w:rFonts w:hint="eastAsia" w:ascii="Times New Roman" w:hAnsi="Times New Roman" w:eastAsia="仿宋_GB2312" w:cs="Times New Roman"/>
          <w:sz w:val="32"/>
          <w:szCs w:val="32"/>
          <w:highlight w:val="none"/>
          <w:lang w:eastAsia="zh-CN"/>
        </w:rPr>
        <w:t>和公务用车购置的减少。</w:t>
      </w:r>
    </w:p>
    <w:p>
      <w:pPr>
        <w:pStyle w:val="14"/>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一般性支出情况说明2025年本部门开支会议费4.32万元，用于召开</w:t>
      </w:r>
      <w:r>
        <w:rPr>
          <w:rFonts w:hint="eastAsia" w:ascii="Times New Roman" w:hAnsi="Times New Roman" w:eastAsia="仿宋_GB2312" w:cs="Times New Roman"/>
          <w:sz w:val="32"/>
          <w:szCs w:val="32"/>
          <w:lang w:eastAsia="zh-CN"/>
        </w:rPr>
        <w:t>六届纪委第五次全会和每月的“林翼”学堂</w:t>
      </w:r>
      <w:r>
        <w:rPr>
          <w:rFonts w:hint="eastAsia" w:ascii="Times New Roman" w:hAnsi="Times New Roman" w:eastAsia="仿宋_GB2312" w:cs="Times New Roman"/>
          <w:sz w:val="32"/>
          <w:szCs w:val="32"/>
        </w:rPr>
        <w:t>等</w:t>
      </w:r>
      <w:r>
        <w:rPr>
          <w:rFonts w:hint="eastAsia" w:ascii="Times New Roman" w:hAnsi="Times New Roman" w:eastAsia="仿宋_GB2312" w:cs="Times New Roman"/>
          <w:sz w:val="32"/>
          <w:szCs w:val="32"/>
          <w:lang w:eastAsia="zh-CN"/>
        </w:rPr>
        <w:t>会议</w:t>
      </w:r>
      <w:r>
        <w:rPr>
          <w:rFonts w:hint="eastAsia" w:ascii="Times New Roman" w:hAnsi="Times New Roman" w:eastAsia="仿宋_GB2312" w:cs="Times New Roman"/>
          <w:sz w:val="32"/>
          <w:szCs w:val="32"/>
        </w:rPr>
        <w:t>，人数以</w:t>
      </w:r>
      <w:r>
        <w:rPr>
          <w:rFonts w:hint="eastAsia" w:ascii="Times New Roman" w:hAnsi="Times New Roman" w:eastAsia="仿宋_GB2312" w:cs="Times New Roman"/>
          <w:sz w:val="32"/>
          <w:szCs w:val="32"/>
          <w:lang w:val="en-US" w:eastAsia="zh-CN"/>
        </w:rPr>
        <w:t>120人/次</w:t>
      </w:r>
      <w:r>
        <w:rPr>
          <w:rFonts w:hint="eastAsia"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eastAsia="zh-CN"/>
        </w:rPr>
        <w:t>上年度工作总结和本年度工作部署及</w:t>
      </w:r>
      <w:r>
        <w:rPr>
          <w:rFonts w:hint="eastAsia" w:ascii="Times New Roman" w:hAnsi="Times New Roman" w:eastAsia="仿宋_GB2312" w:cs="Times New Roman"/>
          <w:sz w:val="32"/>
          <w:szCs w:val="32"/>
        </w:rPr>
        <w:t>纪检监察业务工作</w:t>
      </w:r>
      <w:r>
        <w:rPr>
          <w:rFonts w:hint="eastAsia" w:ascii="Times New Roman" w:hAnsi="Times New Roman" w:eastAsia="仿宋_GB2312" w:cs="Times New Roman"/>
          <w:sz w:val="32"/>
          <w:szCs w:val="32"/>
          <w:lang w:eastAsia="zh-CN"/>
        </w:rPr>
        <w:t>培训会等</w:t>
      </w:r>
      <w:r>
        <w:rPr>
          <w:rFonts w:hint="eastAsia" w:ascii="Times New Roman" w:hAnsi="Times New Roman" w:eastAsia="仿宋_GB2312" w:cs="Times New Roman"/>
          <w:sz w:val="32"/>
          <w:szCs w:val="32"/>
        </w:rPr>
        <w:t>；开支培训费3.74万元，用于开展纪检监察业务培训，人数</w:t>
      </w:r>
      <w:r>
        <w:rPr>
          <w:rFonts w:hint="eastAsia" w:ascii="Times New Roman" w:hAnsi="Times New Roman" w:eastAsia="仿宋_GB2312" w:cs="Times New Roman"/>
          <w:sz w:val="32"/>
          <w:szCs w:val="32"/>
          <w:lang w:val="en-US" w:eastAsia="zh-CN"/>
        </w:rPr>
        <w:t>120人/次</w:t>
      </w:r>
      <w:r>
        <w:rPr>
          <w:rFonts w:hint="eastAsia" w:ascii="Times New Roman" w:hAnsi="Times New Roman" w:eastAsia="仿宋_GB2312" w:cs="Times New Roman"/>
          <w:sz w:val="32"/>
          <w:szCs w:val="32"/>
        </w:rPr>
        <w:t>，内容为监督执纪、巡察等业务能力提升；举办节庆、晚会、论坛、赛事等活动开支0万元。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我</w:t>
      </w:r>
      <w:r>
        <w:rPr>
          <w:rFonts w:ascii="Times New Roman" w:hAnsi="Times New Roman" w:eastAsia="仿宋_GB2312" w:cs="Times New Roman"/>
          <w:color w:val="auto"/>
          <w:sz w:val="32"/>
          <w:szCs w:val="32"/>
        </w:rPr>
        <w:t>单位共有车辆</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left="638" w:leftChars="304" w:firstLine="0" w:firstLineChars="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绩效自评开展情况</w:t>
      </w:r>
      <w:r>
        <w:rPr>
          <w:rFonts w:hint="eastAsia" w:ascii="Times New Roman" w:hAnsi="Times New Roman" w:eastAsia="仿宋_GB2312" w:cs="Times New Roman"/>
          <w:b/>
          <w:bCs/>
          <w:kern w:val="0"/>
          <w:sz w:val="32"/>
          <w:szCs w:val="32"/>
          <w:lang w:eastAsia="zh-CN"/>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3921.10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3921.10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numPr>
          <w:ilvl w:val="0"/>
          <w:numId w:val="3"/>
        </w:num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pPr>
        <w:pStyle w:val="14"/>
        <w:keepNext w:val="0"/>
        <w:keepLines w:val="0"/>
        <w:pageBreakBefore w:val="0"/>
        <w:kinsoku/>
        <w:wordWrap/>
        <w:topLinePunct w:val="0"/>
        <w:bidi w:val="0"/>
        <w:snapToGrid/>
        <w:ind w:firstLine="640" w:firstLineChars="200"/>
        <w:jc w:val="both"/>
        <w:textAlignment w:val="auto"/>
        <w:rPr>
          <w:rFonts w:ascii="Times New Roman" w:hAnsi="Times New Roman" w:cs="Times New Roman"/>
          <w:sz w:val="72"/>
          <w:szCs w:val="72"/>
        </w:rPr>
      </w:pPr>
      <w:r>
        <w:rPr>
          <w:rFonts w:ascii="Times New Roman" w:hAnsi="Times New Roman" w:eastAsia="仿宋_GB2312" w:cs="Times New Roman"/>
          <w:b/>
          <w:bCs/>
          <w:kern w:val="0"/>
          <w:sz w:val="32"/>
          <w:szCs w:val="32"/>
        </w:rPr>
        <w:t>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4380.87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3921.10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89.51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良好</w:t>
      </w:r>
      <w:r>
        <w:rPr>
          <w:rFonts w:ascii="Times New Roman" w:hAnsi="Times New Roman" w:eastAsia="仿宋_GB2312" w:cs="Times New Roman"/>
          <w:sz w:val="32"/>
          <w:szCs w:val="32"/>
        </w:rPr>
        <w:t>”。绩效目标完成情况：</w:t>
      </w:r>
      <w:r>
        <w:rPr>
          <w:rFonts w:hint="eastAsia" w:hAnsi="仿宋" w:eastAsia="仿宋"/>
          <w:kern w:val="0"/>
          <w:sz w:val="32"/>
          <w:szCs w:val="32"/>
        </w:rPr>
        <w:t>经过对202</w:t>
      </w:r>
      <w:r>
        <w:rPr>
          <w:rFonts w:hint="eastAsia" w:hAnsi="仿宋" w:eastAsia="仿宋"/>
          <w:kern w:val="0"/>
          <w:sz w:val="32"/>
          <w:szCs w:val="32"/>
          <w:lang w:val="en-US" w:eastAsia="zh-CN"/>
        </w:rPr>
        <w:t>5</w:t>
      </w:r>
      <w:r>
        <w:rPr>
          <w:rFonts w:hint="eastAsia" w:hAnsi="仿宋" w:eastAsia="仿宋"/>
          <w:kern w:val="0"/>
          <w:sz w:val="32"/>
          <w:szCs w:val="32"/>
        </w:rPr>
        <w:t>年的履职情况、业务情况、财务情况的综合分析可以得出，区纪委监委部门整体支出的目标设定</w:t>
      </w:r>
      <w:r>
        <w:rPr>
          <w:rFonts w:hint="eastAsia" w:hAnsi="仿宋" w:eastAsia="仿宋"/>
          <w:kern w:val="0"/>
          <w:sz w:val="32"/>
          <w:szCs w:val="32"/>
          <w:lang w:eastAsia="zh-CN"/>
        </w:rPr>
        <w:t>、</w:t>
      </w:r>
      <w:r>
        <w:rPr>
          <w:rFonts w:hint="eastAsia" w:hAnsi="仿宋" w:eastAsia="仿宋"/>
          <w:kern w:val="0"/>
          <w:sz w:val="32"/>
          <w:szCs w:val="32"/>
        </w:rPr>
        <w:t>预算配置</w:t>
      </w:r>
      <w:r>
        <w:rPr>
          <w:rFonts w:hint="eastAsia" w:hAnsi="仿宋" w:eastAsia="仿宋"/>
          <w:kern w:val="0"/>
          <w:sz w:val="32"/>
          <w:szCs w:val="32"/>
          <w:lang w:eastAsia="zh-CN"/>
        </w:rPr>
        <w:t>、</w:t>
      </w:r>
      <w:r>
        <w:rPr>
          <w:rFonts w:hint="eastAsia" w:hAnsi="仿宋" w:eastAsia="仿宋"/>
          <w:kern w:val="0"/>
          <w:sz w:val="32"/>
          <w:szCs w:val="32"/>
        </w:rPr>
        <w:t>预算执行</w:t>
      </w:r>
      <w:r>
        <w:rPr>
          <w:rFonts w:hint="eastAsia" w:hAnsi="仿宋" w:eastAsia="仿宋"/>
          <w:kern w:val="0"/>
          <w:sz w:val="32"/>
          <w:szCs w:val="32"/>
          <w:lang w:eastAsia="zh-CN"/>
        </w:rPr>
        <w:t>、</w:t>
      </w:r>
      <w:r>
        <w:rPr>
          <w:rFonts w:hint="eastAsia" w:hAnsi="仿宋" w:eastAsia="仿宋"/>
          <w:kern w:val="0"/>
          <w:sz w:val="32"/>
          <w:szCs w:val="32"/>
          <w:lang w:val="en-US" w:eastAsia="zh-CN"/>
        </w:rPr>
        <w:t>预算</w:t>
      </w:r>
      <w:r>
        <w:rPr>
          <w:rFonts w:hint="eastAsia" w:hAnsi="仿宋" w:eastAsia="仿宋"/>
          <w:kern w:val="0"/>
          <w:sz w:val="32"/>
          <w:szCs w:val="32"/>
        </w:rPr>
        <w:t>管理</w:t>
      </w:r>
      <w:r>
        <w:rPr>
          <w:rFonts w:hint="eastAsia" w:hAnsi="仿宋" w:eastAsia="仿宋"/>
          <w:kern w:val="0"/>
          <w:sz w:val="32"/>
          <w:szCs w:val="32"/>
          <w:lang w:eastAsia="zh-CN"/>
        </w:rPr>
        <w:t>、</w:t>
      </w:r>
      <w:r>
        <w:rPr>
          <w:rFonts w:hint="eastAsia" w:hAnsi="仿宋" w:eastAsia="仿宋"/>
          <w:kern w:val="0"/>
          <w:sz w:val="32"/>
          <w:szCs w:val="32"/>
        </w:rPr>
        <w:t>资产管理</w:t>
      </w:r>
      <w:r>
        <w:rPr>
          <w:rFonts w:hint="eastAsia" w:hAnsi="仿宋" w:eastAsia="仿宋"/>
          <w:kern w:val="0"/>
          <w:sz w:val="32"/>
          <w:szCs w:val="32"/>
          <w:lang w:eastAsia="zh-CN"/>
        </w:rPr>
        <w:t>、</w:t>
      </w:r>
      <w:r>
        <w:rPr>
          <w:rFonts w:hint="eastAsia" w:hAnsi="仿宋" w:eastAsia="仿宋"/>
          <w:kern w:val="0"/>
          <w:sz w:val="32"/>
          <w:szCs w:val="32"/>
          <w:lang w:val="en-US" w:eastAsia="zh-CN"/>
        </w:rPr>
        <w:t>职责</w:t>
      </w:r>
      <w:r>
        <w:rPr>
          <w:rFonts w:hint="eastAsia" w:hAnsi="仿宋" w:eastAsia="仿宋"/>
          <w:kern w:val="0"/>
          <w:sz w:val="32"/>
          <w:szCs w:val="32"/>
        </w:rPr>
        <w:t>履</w:t>
      </w:r>
      <w:r>
        <w:rPr>
          <w:rFonts w:hint="eastAsia" w:hAnsi="仿宋" w:eastAsia="仿宋"/>
          <w:kern w:val="0"/>
          <w:sz w:val="32"/>
          <w:szCs w:val="32"/>
          <w:lang w:val="en-US" w:eastAsia="zh-CN"/>
        </w:rPr>
        <w:t>行和履职效益等方面都较好。</w:t>
      </w:r>
      <w:r>
        <w:rPr>
          <w:rFonts w:ascii="Times New Roman" w:hAnsi="Times New Roman" w:eastAsia="仿宋_GB2312" w:cs="Times New Roman"/>
          <w:sz w:val="32"/>
          <w:szCs w:val="32"/>
        </w:rPr>
        <w:t>发现的主要问题及原因：</w:t>
      </w:r>
      <w:r>
        <w:rPr>
          <w:rFonts w:hint="eastAsia" w:hAnsi="仿宋" w:eastAsia="仿宋"/>
          <w:color w:val="000000"/>
          <w:kern w:val="0"/>
          <w:sz w:val="32"/>
          <w:szCs w:val="32"/>
          <w:highlight w:val="none"/>
        </w:rPr>
        <w:t>非税收入财政返还部分</w:t>
      </w:r>
      <w:r>
        <w:rPr>
          <w:rFonts w:hint="eastAsia" w:hAnsi="仿宋" w:eastAsia="仿宋"/>
          <w:color w:val="000000"/>
          <w:kern w:val="0"/>
          <w:sz w:val="32"/>
          <w:szCs w:val="32"/>
          <w:highlight w:val="none"/>
          <w:lang w:val="en-US" w:eastAsia="zh-CN"/>
        </w:rPr>
        <w:t>未</w:t>
      </w:r>
      <w:r>
        <w:rPr>
          <w:rFonts w:hint="eastAsia" w:hAnsi="仿宋" w:eastAsia="仿宋"/>
          <w:color w:val="000000"/>
          <w:kern w:val="0"/>
          <w:sz w:val="32"/>
          <w:szCs w:val="32"/>
          <w:highlight w:val="none"/>
        </w:rPr>
        <w:t>编制年初预算，预算编制不完整，不能很好地控制这部分收入支出，导致预决算有差异。</w:t>
      </w:r>
      <w:r>
        <w:rPr>
          <w:rFonts w:ascii="Times New Roman" w:hAnsi="Times New Roman" w:eastAsia="仿宋_GB2312" w:cs="Times New Roman"/>
          <w:sz w:val="32"/>
          <w:szCs w:val="32"/>
        </w:rPr>
        <w:t>下一步改进措施：</w:t>
      </w:r>
      <w:r>
        <w:rPr>
          <w:rFonts w:hint="eastAsia" w:hAnsi="仿宋" w:eastAsia="仿宋"/>
          <w:color w:val="000000"/>
          <w:kern w:val="0"/>
          <w:sz w:val="32"/>
          <w:szCs w:val="32"/>
          <w:highlight w:val="none"/>
        </w:rPr>
        <w:t>加强预决算的指导，预算执行情况直接影响部门整体支出绩效，要重视预算执行效果，把控资金运行，使财政资金发挥更大的效益。</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一、财政拨款收入：指本级财政当年拨付的资金。</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二、事业收入：指事业单位开展专业业务活动及辅助活动所取得的收入。</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三、经营收入：指事业单位在专业业务活动及其辅助活动之外开展非独立核算经营活动取得的收入。</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四、其他收入：指除上述“财政拨款收入”、“事业收入”、“经营收入”等以外的收入。</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五、年初结转和结余：指以前年度尚未完成、结转到本年按有关规定继续使用的资金。</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六、基本支出：指为保障单位机构正常运转、完成日常工作任务而发生的各项支出。</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七、项目支出：指单位为完成特定行政工作任务或事业发展目标而发生的支出，包括有关事业发展专项、专项业务费等。</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八、因公出国（境）费：指单位公务出国（境）的住宿费、旅费、伙食补助费、杂费、培训费等支出。</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九、公务用车购置费：指单位公务车辆购置支出，包括车辆购置税支出。</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十、公务用车运行维护费：指单位公务用车租用费、燃料费、维修费、过路过桥费、保险费、安全奖励费用等支出。</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十一、公务接待费：指单位按规定开支的各类公务接待（含外宾接待）费用。</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十二、年末结转和结余：指本年度或以前年度预算安排、因客观条件发生变化无法按原计划实施，需延迟到以后年度按有关规定继续使用的资金。</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十三、机关运行经费：指为保障行政单位（包括参照公务员法 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十四、社会保障和就业支出（类）行政事业单位养老支出（款）机关事业单位基本养老保险缴费支出（项）：指反映机关事业单位实施养老保险制度由单位缴纳的基本养老保险费支出。</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五、卫生健康支出（类）行政事业单位医疗（款）行政单位医疗(项）：指反映财政部门安排的行政单位（包括实行公务员管理的事业单位）基本医疗保险缴费经费，未参加医疗保险的行政单位的公费医疗经费，按国家规定享受离休人员、红军老战士待遇人员的医疗经费。</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十六、住房保障支出（类）住房改革支出（款）住房公积金（项）：指反映行政事业单位按人力资源和社会保障部、财政部规定的基本工资和津贴补贴以及规定比例为职工缴纳的住房公积金。</w:t>
      </w:r>
    </w:p>
    <w:p>
      <w:pPr>
        <w:keepNext w:val="0"/>
        <w:keepLines w:val="0"/>
        <w:pageBreakBefore w:val="0"/>
        <w:numPr>
          <w:ilvl w:val="0"/>
          <w:numId w:val="0"/>
        </w:numPr>
        <w:kinsoku/>
        <w:wordWrap/>
        <w:topLinePunct w:val="0"/>
        <w:bidi w:val="0"/>
        <w:snapToGrid/>
        <w:spacing w:line="560" w:lineRule="exact"/>
        <w:ind w:firstLine="64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十七、政府性基金：指根据法律法规，为支持特定公共基础设施建设和公共事业发展，无偿征收的具有专项用途的财政资金。</w:t>
      </w:r>
    </w:p>
    <w:p>
      <w:pPr>
        <w:pStyle w:val="14"/>
        <w:keepNext w:val="0"/>
        <w:keepLines w:val="0"/>
        <w:pageBreakBefore w:val="0"/>
        <w:kinsoku/>
        <w:wordWrap/>
        <w:topLinePunct w:val="0"/>
        <w:bidi w:val="0"/>
        <w:snapToGrid/>
        <w:ind w:left="420" w:leftChars="200" w:firstLine="1440" w:firstLineChars="200"/>
        <w:jc w:val="both"/>
        <w:textAlignment w:val="auto"/>
        <w:rPr>
          <w:rFonts w:ascii="Times New Roman" w:hAnsi="Times New Roman" w:cs="Times New Roman"/>
          <w:sz w:val="72"/>
          <w:szCs w:val="72"/>
        </w:rPr>
      </w:pPr>
    </w:p>
    <w:p>
      <w:pPr>
        <w:pStyle w:val="14"/>
        <w:keepNext w:val="0"/>
        <w:keepLines w:val="0"/>
        <w:pageBreakBefore w:val="0"/>
        <w:kinsoku/>
        <w:wordWrap/>
        <w:topLinePunct w:val="0"/>
        <w:bidi w:val="0"/>
        <w:snapToGrid/>
        <w:ind w:left="420" w:leftChars="200" w:firstLine="1440" w:firstLineChars="200"/>
        <w:jc w:val="both"/>
        <w:textAlignment w:val="auto"/>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eastAsia="方正小标宋简体"/>
          <w:sz w:val="44"/>
          <w:szCs w:val="44"/>
        </w:rPr>
      </w:pPr>
    </w:p>
    <w:p>
      <w:pPr>
        <w:keepNext w:val="0"/>
        <w:keepLines w:val="0"/>
        <w:pageBreakBefore w:val="0"/>
        <w:widowControl w:val="0"/>
        <w:kinsoku/>
        <w:wordWrap/>
        <w:overflowPunct/>
        <w:topLinePunct w:val="0"/>
        <w:autoSpaceDN/>
        <w:bidi w:val="0"/>
        <w:adjustRightInd/>
        <w:snapToGrid/>
        <w:spacing w:line="600" w:lineRule="exact"/>
        <w:jc w:val="center"/>
        <w:textAlignment w:val="auto"/>
        <w:rPr>
          <w:rFonts w:hint="eastAsia" w:ascii="方正小标宋简体" w:eastAsia="方正小标宋简体"/>
          <w:sz w:val="44"/>
          <w:szCs w:val="44"/>
          <w:lang w:val="en-US" w:eastAsia="zh-CN"/>
        </w:rPr>
      </w:pPr>
      <w:bookmarkStart w:id="3" w:name="_GoBack"/>
      <w:bookmarkEnd w:id="3"/>
      <w:r>
        <w:rPr>
          <w:rFonts w:hint="eastAsia" w:ascii="方正小标宋简体" w:eastAsia="方正小标宋简体"/>
          <w:sz w:val="44"/>
          <w:szCs w:val="44"/>
        </w:rPr>
        <w:t>202</w:t>
      </w:r>
      <w:r>
        <w:rPr>
          <w:rFonts w:hint="eastAsia" w:ascii="方正小标宋简体" w:eastAsia="方正小标宋简体"/>
          <w:sz w:val="44"/>
          <w:szCs w:val="44"/>
          <w:lang w:val="en-US" w:eastAsia="zh-CN"/>
        </w:rPr>
        <w:t>5</w:t>
      </w:r>
      <w:r>
        <w:rPr>
          <w:rFonts w:hint="eastAsia" w:ascii="方正小标宋简体" w:eastAsia="方正小标宋简体"/>
          <w:sz w:val="44"/>
          <w:szCs w:val="44"/>
        </w:rPr>
        <w:t>年度</w:t>
      </w:r>
      <w:r>
        <w:rPr>
          <w:rFonts w:hint="eastAsia" w:ascii="方正小标宋简体" w:eastAsia="方正小标宋简体"/>
          <w:sz w:val="44"/>
          <w:szCs w:val="44"/>
          <w:lang w:val="en-US" w:eastAsia="zh-CN"/>
        </w:rPr>
        <w:t>中共益阳市赫山区纪委</w:t>
      </w:r>
    </w:p>
    <w:p>
      <w:pPr>
        <w:keepNext w:val="0"/>
        <w:keepLines w:val="0"/>
        <w:pageBreakBefore w:val="0"/>
        <w:widowControl w:val="0"/>
        <w:kinsoku/>
        <w:wordWrap/>
        <w:overflowPunct/>
        <w:topLinePunct w:val="0"/>
        <w:autoSpaceDN/>
        <w:bidi w:val="0"/>
        <w:adjustRightInd/>
        <w:snapToGrid/>
        <w:spacing w:line="60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整体支出绩效自评报告</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ascii="仿宋_GB2312" w:eastAsia="仿宋_GB2312"/>
          <w:sz w:val="32"/>
          <w:szCs w:val="32"/>
        </w:rPr>
      </w:pPr>
    </w:p>
    <w:p>
      <w:pPr>
        <w:keepNext w:val="0"/>
        <w:keepLines w:val="0"/>
        <w:pageBreakBefore w:val="0"/>
        <w:widowControl w:val="0"/>
        <w:numPr>
          <w:ilvl w:val="0"/>
          <w:numId w:val="4"/>
        </w:numPr>
        <w:kinsoku/>
        <w:wordWrap/>
        <w:overflowPunct/>
        <w:topLinePunct w:val="0"/>
        <w:autoSpaceDN/>
        <w:bidi w:val="0"/>
        <w:adjustRightInd/>
        <w:snapToGrid/>
        <w:spacing w:line="60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部门（单位）基本情况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eastAsia="仿宋"/>
          <w:sz w:val="32"/>
          <w:szCs w:val="32"/>
        </w:rPr>
      </w:pPr>
      <w:r>
        <w:rPr>
          <w:rFonts w:hint="eastAsia" w:eastAsia="仿宋_GB2312"/>
          <w:sz w:val="32"/>
          <w:szCs w:val="32"/>
        </w:rPr>
        <w:t>中国共产党益阳市赫山区纪律检查委员会与益阳市赫山区监察委员会合署办公，简称区纪委监委。</w:t>
      </w:r>
      <w:r>
        <w:rPr>
          <w:rFonts w:hAnsi="仿宋" w:eastAsia="仿宋"/>
          <w:sz w:val="32"/>
          <w:szCs w:val="32"/>
        </w:rPr>
        <w:t>区纪委监委机关设有</w:t>
      </w:r>
      <w:r>
        <w:rPr>
          <w:rFonts w:eastAsia="仿宋"/>
          <w:sz w:val="32"/>
          <w:szCs w:val="32"/>
        </w:rPr>
        <w:t>1</w:t>
      </w:r>
      <w:r>
        <w:rPr>
          <w:rFonts w:hint="eastAsia" w:eastAsia="仿宋"/>
          <w:sz w:val="32"/>
          <w:szCs w:val="32"/>
          <w:lang w:val="en-US" w:eastAsia="zh-CN"/>
        </w:rPr>
        <w:t>5</w:t>
      </w:r>
      <w:r>
        <w:rPr>
          <w:rFonts w:hAnsi="仿宋" w:eastAsia="仿宋"/>
          <w:sz w:val="32"/>
          <w:szCs w:val="32"/>
        </w:rPr>
        <w:t>个内设机构，分别为办公室（调研法规室）、组织部、宣传部、党风政风监督室、信访室、第一至第四纪检监察室、第五纪检监察室（区反腐败协调小组国际追逃追赃和防逃工作办公室）、第</w:t>
      </w:r>
      <w:r>
        <w:rPr>
          <w:rFonts w:hint="eastAsia" w:hAnsi="仿宋" w:eastAsia="仿宋"/>
          <w:sz w:val="32"/>
          <w:szCs w:val="32"/>
          <w:lang w:eastAsia="zh-CN"/>
        </w:rPr>
        <w:t>六</w:t>
      </w:r>
      <w:r>
        <w:rPr>
          <w:rFonts w:hAnsi="仿宋" w:eastAsia="仿宋"/>
          <w:sz w:val="32"/>
          <w:szCs w:val="32"/>
        </w:rPr>
        <w:t>至第</w:t>
      </w:r>
      <w:r>
        <w:rPr>
          <w:rFonts w:hint="eastAsia" w:hAnsi="仿宋" w:eastAsia="仿宋"/>
          <w:sz w:val="32"/>
          <w:szCs w:val="32"/>
          <w:lang w:eastAsia="zh-CN"/>
        </w:rPr>
        <w:t>七</w:t>
      </w:r>
      <w:r>
        <w:rPr>
          <w:rFonts w:hAnsi="仿宋" w:eastAsia="仿宋"/>
          <w:sz w:val="32"/>
          <w:szCs w:val="32"/>
        </w:rPr>
        <w:t>纪检监察室</w:t>
      </w:r>
      <w:r>
        <w:rPr>
          <w:rFonts w:hint="eastAsia" w:hAnsi="仿宋" w:eastAsia="仿宋"/>
          <w:sz w:val="32"/>
          <w:szCs w:val="32"/>
          <w:lang w:eastAsia="zh-CN"/>
        </w:rPr>
        <w:t>、</w:t>
      </w:r>
      <w:r>
        <w:rPr>
          <w:rFonts w:hAnsi="仿宋" w:eastAsia="仿宋"/>
          <w:sz w:val="32"/>
          <w:szCs w:val="32"/>
        </w:rPr>
        <w:t>案件监督管理室（信息技术保障室）、案件审理室（申诉复查办公室）、纪检监察干部监督室；设立</w:t>
      </w:r>
      <w:r>
        <w:rPr>
          <w:rFonts w:hint="eastAsia" w:eastAsia="仿宋"/>
          <w:sz w:val="32"/>
          <w:szCs w:val="32"/>
          <w:lang w:val="en-US" w:eastAsia="zh-CN"/>
        </w:rPr>
        <w:t>8</w:t>
      </w:r>
      <w:r>
        <w:rPr>
          <w:rFonts w:hAnsi="仿宋" w:eastAsia="仿宋"/>
          <w:sz w:val="32"/>
          <w:szCs w:val="32"/>
        </w:rPr>
        <w:t>个派驻纪检监察组，分别为驻区委办公室纪检监察组、驻区</w:t>
      </w:r>
      <w:r>
        <w:rPr>
          <w:rFonts w:hint="eastAsia" w:hAnsi="仿宋" w:eastAsia="仿宋"/>
          <w:sz w:val="32"/>
          <w:szCs w:val="32"/>
          <w:lang w:eastAsia="zh-CN"/>
        </w:rPr>
        <w:t>政府办公室</w:t>
      </w:r>
      <w:r>
        <w:rPr>
          <w:rFonts w:hAnsi="仿宋" w:eastAsia="仿宋"/>
          <w:sz w:val="32"/>
          <w:szCs w:val="32"/>
        </w:rPr>
        <w:t>纪检监察组、驻区委组织部纪检监察组、驻区委政法委纪检监察组、驻区教育局纪检监察组、驻区</w:t>
      </w:r>
      <w:r>
        <w:rPr>
          <w:rFonts w:hint="eastAsia" w:hAnsi="仿宋" w:eastAsia="仿宋"/>
          <w:sz w:val="32"/>
          <w:szCs w:val="32"/>
          <w:lang w:eastAsia="zh-CN"/>
        </w:rPr>
        <w:t>发改</w:t>
      </w:r>
      <w:r>
        <w:rPr>
          <w:rFonts w:hAnsi="仿宋" w:eastAsia="仿宋"/>
          <w:sz w:val="32"/>
          <w:szCs w:val="32"/>
        </w:rPr>
        <w:t>局纪检监察组、驻区住建局纪检监察组、驻区农业局纪检监察组；区委巡察办及区委第一至第三巡察组人员</w:t>
      </w:r>
      <w:r>
        <w:rPr>
          <w:rFonts w:hint="eastAsia" w:hAnsi="仿宋" w:eastAsia="仿宋"/>
          <w:sz w:val="32"/>
          <w:szCs w:val="32"/>
        </w:rPr>
        <w:t>工资福利待遇、公用经费</w:t>
      </w:r>
      <w:r>
        <w:rPr>
          <w:rFonts w:hAnsi="仿宋" w:eastAsia="仿宋"/>
          <w:sz w:val="32"/>
          <w:szCs w:val="32"/>
        </w:rPr>
        <w:t>等在本</w:t>
      </w:r>
      <w:r>
        <w:rPr>
          <w:rFonts w:hint="eastAsia" w:hAnsi="仿宋" w:eastAsia="仿宋"/>
          <w:sz w:val="32"/>
          <w:szCs w:val="32"/>
        </w:rPr>
        <w:t>部门核算</w:t>
      </w:r>
      <w:r>
        <w:rPr>
          <w:rFonts w:hAnsi="仿宋" w:eastAsia="仿宋"/>
          <w:sz w:val="32"/>
          <w:szCs w:val="32"/>
        </w:rPr>
        <w:t>。</w:t>
      </w:r>
    </w:p>
    <w:p>
      <w:pPr>
        <w:pStyle w:val="9"/>
        <w:keepNext w:val="0"/>
        <w:keepLines w:val="0"/>
        <w:pageBreakBefore w:val="0"/>
        <w:widowControl w:val="0"/>
        <w:kinsoku/>
        <w:wordWrap/>
        <w:overflowPunct/>
        <w:topLinePunct w:val="0"/>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sz w:val="32"/>
          <w:szCs w:val="32"/>
        </w:rPr>
      </w:pPr>
      <w:r>
        <w:rPr>
          <w:rFonts w:ascii="Times New Roman" w:hAnsi="仿宋" w:eastAsia="仿宋"/>
          <w:kern w:val="2"/>
          <w:sz w:val="32"/>
          <w:szCs w:val="32"/>
        </w:rPr>
        <w:t>截至</w:t>
      </w:r>
      <w:r>
        <w:rPr>
          <w:rFonts w:hint="eastAsia" w:ascii="Times New Roman" w:hAnsi="Times New Roman" w:eastAsia="仿宋"/>
          <w:kern w:val="2"/>
          <w:sz w:val="32"/>
          <w:szCs w:val="32"/>
        </w:rPr>
        <w:t>202</w:t>
      </w:r>
      <w:r>
        <w:rPr>
          <w:rFonts w:hint="eastAsia" w:ascii="Times New Roman" w:hAnsi="Times New Roman" w:eastAsia="仿宋"/>
          <w:kern w:val="2"/>
          <w:sz w:val="32"/>
          <w:szCs w:val="32"/>
          <w:lang w:val="en-US" w:eastAsia="zh-CN"/>
        </w:rPr>
        <w:t>5</w:t>
      </w:r>
      <w:r>
        <w:rPr>
          <w:rFonts w:ascii="Times New Roman" w:hAnsi="仿宋" w:eastAsia="仿宋"/>
          <w:kern w:val="2"/>
          <w:sz w:val="32"/>
          <w:szCs w:val="32"/>
        </w:rPr>
        <w:t>年</w:t>
      </w:r>
      <w:r>
        <w:rPr>
          <w:rFonts w:ascii="Times New Roman" w:hAnsi="Times New Roman" w:eastAsia="仿宋"/>
          <w:kern w:val="2"/>
          <w:sz w:val="32"/>
          <w:szCs w:val="32"/>
        </w:rPr>
        <w:t>12</w:t>
      </w:r>
      <w:r>
        <w:rPr>
          <w:rFonts w:ascii="Times New Roman" w:hAnsi="仿宋" w:eastAsia="仿宋"/>
          <w:kern w:val="2"/>
          <w:sz w:val="32"/>
          <w:szCs w:val="32"/>
        </w:rPr>
        <w:t>月，赫山区纪委监委实有编制数</w:t>
      </w:r>
      <w:r>
        <w:rPr>
          <w:rFonts w:hint="eastAsia" w:ascii="Times New Roman" w:hAnsi="Times New Roman" w:eastAsia="仿宋"/>
          <w:kern w:val="2"/>
          <w:sz w:val="32"/>
          <w:szCs w:val="32"/>
        </w:rPr>
        <w:t>11</w:t>
      </w:r>
      <w:r>
        <w:rPr>
          <w:rFonts w:hint="eastAsia" w:ascii="Times New Roman" w:hAnsi="Times New Roman" w:eastAsia="仿宋"/>
          <w:kern w:val="2"/>
          <w:sz w:val="32"/>
          <w:szCs w:val="32"/>
          <w:lang w:val="en-US" w:eastAsia="zh-CN"/>
        </w:rPr>
        <w:t>5</w:t>
      </w:r>
      <w:r>
        <w:rPr>
          <w:rFonts w:ascii="Times New Roman" w:hAnsi="仿宋" w:eastAsia="仿宋"/>
          <w:kern w:val="2"/>
          <w:sz w:val="32"/>
          <w:szCs w:val="32"/>
        </w:rPr>
        <w:t>个，包括</w:t>
      </w:r>
      <w:r>
        <w:rPr>
          <w:rFonts w:ascii="Times New Roman" w:hAnsi="Times New Roman" w:eastAsia="仿宋"/>
          <w:kern w:val="2"/>
          <w:sz w:val="32"/>
          <w:szCs w:val="32"/>
        </w:rPr>
        <w:t>106</w:t>
      </w:r>
      <w:r>
        <w:rPr>
          <w:rFonts w:ascii="Times New Roman" w:hAnsi="仿宋" w:eastAsia="仿宋"/>
          <w:kern w:val="2"/>
          <w:sz w:val="32"/>
          <w:szCs w:val="32"/>
        </w:rPr>
        <w:t>个行政编制、</w:t>
      </w:r>
      <w:r>
        <w:rPr>
          <w:rFonts w:hint="eastAsia" w:ascii="Times New Roman" w:hAnsi="Times New Roman" w:eastAsia="仿宋"/>
          <w:kern w:val="2"/>
          <w:sz w:val="32"/>
          <w:szCs w:val="32"/>
          <w:lang w:val="en-US" w:eastAsia="zh-CN"/>
        </w:rPr>
        <w:t>1</w:t>
      </w:r>
      <w:r>
        <w:rPr>
          <w:rFonts w:ascii="Times New Roman" w:hAnsi="仿宋" w:eastAsia="仿宋"/>
          <w:kern w:val="2"/>
          <w:sz w:val="32"/>
          <w:szCs w:val="32"/>
        </w:rPr>
        <w:t>个工勤编制和</w:t>
      </w:r>
      <w:r>
        <w:rPr>
          <w:rFonts w:hint="eastAsia" w:ascii="Times New Roman" w:hAnsi="Times New Roman" w:eastAsia="仿宋"/>
          <w:kern w:val="2"/>
          <w:sz w:val="32"/>
          <w:szCs w:val="32"/>
          <w:lang w:val="en-US" w:eastAsia="zh-CN"/>
        </w:rPr>
        <w:t>8</w:t>
      </w:r>
      <w:r>
        <w:rPr>
          <w:rFonts w:ascii="Times New Roman" w:hAnsi="仿宋" w:eastAsia="仿宋"/>
          <w:kern w:val="2"/>
          <w:sz w:val="32"/>
          <w:szCs w:val="32"/>
        </w:rPr>
        <w:t>个全额事业编制，实有在职在编人员</w:t>
      </w:r>
      <w:r>
        <w:rPr>
          <w:rFonts w:hint="eastAsia" w:ascii="Times New Roman" w:hAnsi="Times New Roman" w:eastAsia="仿宋"/>
          <w:kern w:val="2"/>
          <w:sz w:val="32"/>
          <w:szCs w:val="32"/>
        </w:rPr>
        <w:t>1</w:t>
      </w:r>
      <w:r>
        <w:rPr>
          <w:rFonts w:hint="eastAsia" w:ascii="Times New Roman" w:hAnsi="Times New Roman" w:eastAsia="仿宋"/>
          <w:kern w:val="2"/>
          <w:sz w:val="32"/>
          <w:szCs w:val="32"/>
          <w:lang w:val="en-US" w:eastAsia="zh-CN"/>
        </w:rPr>
        <w:t>14</w:t>
      </w:r>
      <w:r>
        <w:rPr>
          <w:rFonts w:ascii="Times New Roman" w:hAnsi="仿宋" w:eastAsia="仿宋"/>
          <w:kern w:val="2"/>
          <w:sz w:val="32"/>
          <w:szCs w:val="32"/>
        </w:rPr>
        <w:t>人。</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ascii="黑体" w:hAnsi="黑体" w:eastAsia="黑体"/>
          <w:sz w:val="32"/>
          <w:szCs w:val="32"/>
        </w:rPr>
      </w:pPr>
      <w:r>
        <w:rPr>
          <w:rFonts w:hint="eastAsia" w:ascii="黑体" w:hAnsi="黑体" w:eastAsia="黑体"/>
          <w:sz w:val="32"/>
          <w:szCs w:val="32"/>
        </w:rPr>
        <w:t>二、一般公共预算支出情况</w:t>
      </w:r>
    </w:p>
    <w:p>
      <w:pPr>
        <w:pStyle w:val="20"/>
        <w:keepNext w:val="0"/>
        <w:keepLines w:val="0"/>
        <w:pageBreakBefore w:val="0"/>
        <w:widowControl w:val="0"/>
        <w:kinsoku/>
        <w:wordWrap/>
        <w:overflowPunct/>
        <w:topLinePunct w:val="0"/>
        <w:autoSpaceDN/>
        <w:bidi w:val="0"/>
        <w:adjustRightInd/>
        <w:snapToGrid/>
        <w:spacing w:line="600" w:lineRule="exact"/>
        <w:ind w:left="0" w:firstLine="640" w:firstLineChars="200"/>
        <w:textAlignment w:val="auto"/>
        <w:rPr>
          <w:rFonts w:hint="eastAsia" w:ascii="Times New Roman" w:hAnsi="仿宋" w:eastAsia="仿宋" w:cs="Times New Roman"/>
          <w:kern w:val="2"/>
          <w:sz w:val="32"/>
          <w:szCs w:val="32"/>
          <w:lang w:val="en-US" w:eastAsia="zh-CN" w:bidi="ar-SA"/>
        </w:rPr>
      </w:pPr>
      <w:r>
        <w:rPr>
          <w:rFonts w:hint="eastAsia" w:ascii="Times New Roman" w:hAnsi="仿宋" w:eastAsia="仿宋" w:cs="Times New Roman"/>
          <w:kern w:val="2"/>
          <w:sz w:val="32"/>
          <w:szCs w:val="32"/>
          <w:lang w:val="en-US" w:eastAsia="zh-CN" w:bidi="ar-SA"/>
        </w:rPr>
        <w:t>2025年收入决算数为3921.09万元，其中基本支出2165.49万元，项目支出1755.60万元。</w:t>
      </w:r>
    </w:p>
    <w:p>
      <w:pPr>
        <w:pStyle w:val="20"/>
        <w:keepNext w:val="0"/>
        <w:keepLines w:val="0"/>
        <w:pageBreakBefore w:val="0"/>
        <w:widowControl w:val="0"/>
        <w:numPr>
          <w:ilvl w:val="0"/>
          <w:numId w:val="5"/>
        </w:numPr>
        <w:kinsoku/>
        <w:wordWrap/>
        <w:overflowPunct/>
        <w:topLinePunct w:val="0"/>
        <w:autoSpaceDN/>
        <w:bidi w:val="0"/>
        <w:adjustRightInd/>
        <w:snapToGrid/>
        <w:spacing w:line="600" w:lineRule="exact"/>
        <w:ind w:left="640" w:firstLine="0" w:firstLineChars="0"/>
        <w:textAlignment w:val="auto"/>
        <w:rPr>
          <w:rFonts w:hint="eastAsia" w:ascii="Times New Roman" w:hAnsi="仿宋" w:eastAsia="仿宋" w:cs="Times New Roman"/>
          <w:kern w:val="2"/>
          <w:sz w:val="32"/>
          <w:szCs w:val="32"/>
          <w:lang w:val="en-US" w:eastAsia="zh-CN" w:bidi="ar-SA"/>
        </w:rPr>
      </w:pPr>
      <w:r>
        <w:rPr>
          <w:rFonts w:hint="eastAsia" w:ascii="楷体" w:hAnsi="楷体" w:eastAsia="楷体" w:cs="楷体"/>
          <w:kern w:val="2"/>
          <w:sz w:val="32"/>
          <w:szCs w:val="32"/>
          <w:lang w:val="en-US" w:eastAsia="zh-CN" w:bidi="ar-SA"/>
        </w:rPr>
        <w:t xml:space="preserve">基本支出情况                             </w:t>
      </w:r>
    </w:p>
    <w:p>
      <w:pPr>
        <w:pStyle w:val="20"/>
        <w:keepNext w:val="0"/>
        <w:keepLines w:val="0"/>
        <w:pageBreakBefore w:val="0"/>
        <w:widowControl w:val="0"/>
        <w:numPr>
          <w:ilvl w:val="0"/>
          <w:numId w:val="0"/>
        </w:numPr>
        <w:kinsoku/>
        <w:wordWrap/>
        <w:overflowPunct/>
        <w:topLinePunct w:val="0"/>
        <w:autoSpaceDN/>
        <w:bidi w:val="0"/>
        <w:adjustRightInd/>
        <w:snapToGrid/>
        <w:spacing w:line="600" w:lineRule="exact"/>
        <w:ind w:firstLine="640" w:firstLineChars="200"/>
        <w:textAlignment w:val="auto"/>
        <w:rPr>
          <w:rFonts w:hint="eastAsia" w:ascii="Times New Roman" w:hAnsi="仿宋" w:eastAsia="仿宋" w:cs="Times New Roman"/>
          <w:kern w:val="2"/>
          <w:sz w:val="32"/>
          <w:szCs w:val="32"/>
          <w:lang w:val="en-US" w:eastAsia="zh-CN" w:bidi="ar-SA"/>
        </w:rPr>
      </w:pPr>
      <w:r>
        <w:rPr>
          <w:rFonts w:hint="eastAsia" w:ascii="Times New Roman" w:hAnsi="仿宋" w:eastAsia="仿宋" w:cs="Times New Roman"/>
          <w:kern w:val="2"/>
          <w:sz w:val="32"/>
          <w:szCs w:val="32"/>
          <w:lang w:val="en-US" w:eastAsia="zh-CN" w:bidi="ar-SA"/>
        </w:rPr>
        <w:t>基本支出2165.49万元，</w:t>
      </w:r>
      <w:r>
        <w:rPr>
          <w:rFonts w:hint="eastAsia" w:ascii="Times New Roman" w:hAnsi="仿宋" w:eastAsia="仿宋" w:cs="Times New Roman"/>
          <w:kern w:val="2"/>
          <w:sz w:val="32"/>
          <w:szCs w:val="32"/>
          <w:highlight w:val="none"/>
          <w:lang w:val="en-US" w:eastAsia="zh-CN" w:bidi="ar-SA"/>
        </w:rPr>
        <w:t>其中人员经费1721.56万元，主要为人员工资、养老保险、医疗保险和住房公积金等；公用经费443.93万元，主要包括办公及印刷费</w:t>
      </w:r>
      <w:r>
        <w:rPr>
          <w:rFonts w:hint="eastAsia" w:ascii="Times New Roman" w:hAnsi="仿宋" w:eastAsia="仿宋" w:cs="Times New Roman"/>
          <w:kern w:val="2"/>
          <w:sz w:val="32"/>
          <w:szCs w:val="32"/>
          <w:lang w:val="en-US" w:eastAsia="zh-CN" w:bidi="ar-SA"/>
        </w:rPr>
        <w:t>、差旅费、会议费、福利费、日常维修费、专用资料及一般设备购置费、办公用房水电费、物业管理费以及其他费用。</w:t>
      </w:r>
    </w:p>
    <w:p>
      <w:pPr>
        <w:pStyle w:val="20"/>
        <w:keepNext w:val="0"/>
        <w:keepLines w:val="0"/>
        <w:pageBreakBefore w:val="0"/>
        <w:widowControl w:val="0"/>
        <w:numPr>
          <w:ilvl w:val="0"/>
          <w:numId w:val="5"/>
        </w:numPr>
        <w:kinsoku/>
        <w:wordWrap/>
        <w:overflowPunct/>
        <w:topLinePunct w:val="0"/>
        <w:autoSpaceDN/>
        <w:bidi w:val="0"/>
        <w:adjustRightInd/>
        <w:snapToGrid/>
        <w:spacing w:line="600" w:lineRule="exact"/>
        <w:ind w:left="640" w:leftChars="0" w:firstLine="0" w:firstLineChars="0"/>
        <w:textAlignment w:val="auto"/>
        <w:rPr>
          <w:rFonts w:hint="eastAsia" w:ascii="楷体" w:hAnsi="楷体" w:eastAsia="楷体" w:cs="楷体"/>
          <w:sz w:val="32"/>
          <w:szCs w:val="32"/>
          <w:highlight w:val="none"/>
        </w:rPr>
      </w:pPr>
      <w:r>
        <w:rPr>
          <w:rFonts w:hint="eastAsia" w:ascii="楷体" w:hAnsi="楷体" w:eastAsia="楷体" w:cs="楷体"/>
          <w:sz w:val="32"/>
          <w:szCs w:val="32"/>
          <w:highlight w:val="none"/>
        </w:rPr>
        <w:t>项目支出情况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Times New Roman" w:hAnsi="仿宋" w:eastAsia="仿宋" w:cs="Times New Roman"/>
          <w:kern w:val="2"/>
          <w:sz w:val="32"/>
          <w:szCs w:val="32"/>
          <w:lang w:val="en-US" w:eastAsia="zh-CN" w:bidi="ar-SA"/>
        </w:rPr>
      </w:pPr>
      <w:r>
        <w:rPr>
          <w:rFonts w:hint="eastAsia" w:ascii="Times New Roman" w:hAnsi="仿宋" w:eastAsia="仿宋" w:cs="Times New Roman"/>
          <w:kern w:val="2"/>
          <w:sz w:val="32"/>
          <w:szCs w:val="32"/>
          <w:lang w:val="en-US" w:eastAsia="zh-CN" w:bidi="ar-SA"/>
        </w:rPr>
        <w:t>项目支出1755.60万元，</w:t>
      </w:r>
      <w:r>
        <w:rPr>
          <w:rFonts w:hint="eastAsia" w:hAnsi="仿宋" w:eastAsia="仿宋" w:cs="Times New Roman"/>
          <w:kern w:val="2"/>
          <w:sz w:val="32"/>
          <w:szCs w:val="32"/>
          <w:lang w:val="en-US" w:eastAsia="zh-CN" w:bidi="ar-SA"/>
        </w:rPr>
        <w:t>主要为</w:t>
      </w:r>
      <w:r>
        <w:rPr>
          <w:rFonts w:hint="eastAsia" w:ascii="仿宋_GB2312" w:hAnsi="仿宋_GB2312" w:eastAsia="仿宋_GB2312" w:cs="仿宋_GB2312"/>
          <w:color w:val="000000"/>
          <w:sz w:val="32"/>
          <w:szCs w:val="32"/>
          <w:lang w:val="en-US" w:eastAsia="zh-CN"/>
        </w:rPr>
        <w:t>办案工作经费、巡察工作经费、派驻纪检监察组工作经费、集中整治专项工作经费等业务工作经费。</w:t>
      </w:r>
    </w:p>
    <w:p>
      <w:pPr>
        <w:pStyle w:val="20"/>
        <w:keepNext w:val="0"/>
        <w:keepLines w:val="0"/>
        <w:pageBreakBefore w:val="0"/>
        <w:widowControl w:val="0"/>
        <w:numPr>
          <w:ilvl w:val="0"/>
          <w:numId w:val="6"/>
        </w:numPr>
        <w:kinsoku/>
        <w:wordWrap/>
        <w:overflowPunct/>
        <w:topLinePunct w:val="0"/>
        <w:autoSpaceDN/>
        <w:bidi w:val="0"/>
        <w:adjustRightInd/>
        <w:snapToGrid/>
        <w:spacing w:line="600" w:lineRule="exact"/>
        <w:ind w:left="640" w:firstLine="0" w:firstLineChars="0"/>
        <w:jc w:val="left"/>
        <w:textAlignment w:val="auto"/>
        <w:rPr>
          <w:rFonts w:hint="eastAsia" w:ascii="Times New Roman" w:hAnsi="Times New Roman" w:eastAsia="黑体" w:cs="黑体"/>
          <w:sz w:val="32"/>
          <w:szCs w:val="32"/>
          <w:highlight w:val="none"/>
        </w:rPr>
      </w:pPr>
      <w:r>
        <w:rPr>
          <w:rFonts w:hint="eastAsia" w:ascii="Times New Roman" w:hAnsi="Times New Roman" w:eastAsia="黑体" w:cs="黑体"/>
          <w:sz w:val="32"/>
          <w:szCs w:val="32"/>
          <w:highlight w:val="none"/>
        </w:rPr>
        <w:t>政府性基金预算支出情况</w:t>
      </w:r>
    </w:p>
    <w:p>
      <w:pPr>
        <w:pStyle w:val="20"/>
        <w:keepNext w:val="0"/>
        <w:keepLines w:val="0"/>
        <w:pageBreakBefore w:val="0"/>
        <w:widowControl w:val="0"/>
        <w:numPr>
          <w:ilvl w:val="0"/>
          <w:numId w:val="0"/>
        </w:numPr>
        <w:kinsoku/>
        <w:wordWrap/>
        <w:overflowPunct/>
        <w:topLinePunct w:val="0"/>
        <w:autoSpaceDN/>
        <w:bidi w:val="0"/>
        <w:adjustRightInd/>
        <w:snapToGrid/>
        <w:spacing w:line="60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Times New Roman" w:hAnsi="Times New Roman"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我单位无政府性基金预算支出的情况。</w:t>
      </w:r>
    </w:p>
    <w:p>
      <w:pPr>
        <w:pStyle w:val="20"/>
        <w:keepNext w:val="0"/>
        <w:keepLines w:val="0"/>
        <w:pageBreakBefore w:val="0"/>
        <w:widowControl w:val="0"/>
        <w:numPr>
          <w:ilvl w:val="0"/>
          <w:numId w:val="7"/>
        </w:numPr>
        <w:kinsoku/>
        <w:wordWrap/>
        <w:overflowPunct/>
        <w:topLinePunct w:val="0"/>
        <w:autoSpaceDN/>
        <w:bidi w:val="0"/>
        <w:adjustRightInd/>
        <w:snapToGrid/>
        <w:spacing w:line="600" w:lineRule="exact"/>
        <w:ind w:left="640" w:firstLine="0" w:firstLineChars="0"/>
        <w:jc w:val="left"/>
        <w:textAlignment w:val="auto"/>
        <w:rPr>
          <w:rFonts w:hint="eastAsia" w:ascii="Times New Roman" w:hAnsi="Times New Roman" w:eastAsia="黑体" w:cs="黑体"/>
          <w:sz w:val="32"/>
          <w:szCs w:val="32"/>
          <w:highlight w:val="none"/>
        </w:rPr>
      </w:pPr>
      <w:r>
        <w:rPr>
          <w:rFonts w:hint="eastAsia" w:ascii="Times New Roman" w:hAnsi="Times New Roman" w:eastAsia="黑体" w:cs="黑体"/>
          <w:sz w:val="32"/>
          <w:szCs w:val="32"/>
          <w:highlight w:val="none"/>
        </w:rPr>
        <w:t>国有资本经营预算支出情况</w:t>
      </w:r>
    </w:p>
    <w:p>
      <w:pPr>
        <w:pStyle w:val="20"/>
        <w:keepNext w:val="0"/>
        <w:keepLines w:val="0"/>
        <w:pageBreakBefore w:val="0"/>
        <w:widowControl w:val="0"/>
        <w:numPr>
          <w:ilvl w:val="0"/>
          <w:numId w:val="0"/>
        </w:numPr>
        <w:kinsoku/>
        <w:wordWrap/>
        <w:overflowPunct/>
        <w:topLinePunct w:val="0"/>
        <w:autoSpaceDN/>
        <w:bidi w:val="0"/>
        <w:adjustRightInd/>
        <w:snapToGrid/>
        <w:spacing w:line="60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Times New Roman" w:hAnsi="Times New Roman"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我单位无资本经营预算支出的情况。</w:t>
      </w:r>
    </w:p>
    <w:p>
      <w:pPr>
        <w:pStyle w:val="20"/>
        <w:keepNext w:val="0"/>
        <w:keepLines w:val="0"/>
        <w:pageBreakBefore w:val="0"/>
        <w:widowControl w:val="0"/>
        <w:numPr>
          <w:ilvl w:val="0"/>
          <w:numId w:val="8"/>
        </w:numPr>
        <w:kinsoku/>
        <w:wordWrap/>
        <w:overflowPunct/>
        <w:topLinePunct w:val="0"/>
        <w:autoSpaceDN/>
        <w:bidi w:val="0"/>
        <w:adjustRightInd/>
        <w:snapToGrid/>
        <w:spacing w:line="600" w:lineRule="exact"/>
        <w:ind w:left="640" w:firstLine="0" w:firstLineChars="0"/>
        <w:jc w:val="left"/>
        <w:textAlignment w:val="auto"/>
        <w:rPr>
          <w:rFonts w:hint="eastAsia" w:ascii="Times New Roman" w:hAnsi="Times New Roman" w:eastAsia="黑体" w:cs="黑体"/>
          <w:sz w:val="32"/>
          <w:szCs w:val="32"/>
          <w:highlight w:val="none"/>
        </w:rPr>
      </w:pPr>
      <w:r>
        <w:rPr>
          <w:rFonts w:hint="eastAsia" w:ascii="Times New Roman" w:hAnsi="Times New Roman" w:eastAsia="黑体" w:cs="黑体"/>
          <w:sz w:val="32"/>
          <w:szCs w:val="32"/>
          <w:highlight w:val="none"/>
        </w:rPr>
        <w:t>社会保险基金预算支出情况</w:t>
      </w:r>
    </w:p>
    <w:p>
      <w:pPr>
        <w:pStyle w:val="20"/>
        <w:keepNext w:val="0"/>
        <w:keepLines w:val="0"/>
        <w:pageBreakBefore w:val="0"/>
        <w:widowControl w:val="0"/>
        <w:numPr>
          <w:ilvl w:val="0"/>
          <w:numId w:val="0"/>
        </w:numPr>
        <w:kinsoku/>
        <w:wordWrap/>
        <w:overflowPunct/>
        <w:topLinePunct w:val="0"/>
        <w:autoSpaceDN/>
        <w:bidi w:val="0"/>
        <w:adjustRightInd/>
        <w:snapToGrid/>
        <w:spacing w:line="600" w:lineRule="exact"/>
        <w:ind w:firstLine="64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我单位无社会保险基金预算支出的情况。</w:t>
      </w:r>
    </w:p>
    <w:p>
      <w:pPr>
        <w:keepNext w:val="0"/>
        <w:keepLines w:val="0"/>
        <w:pageBreakBefore w:val="0"/>
        <w:widowControl w:val="0"/>
        <w:numPr>
          <w:ilvl w:val="0"/>
          <w:numId w:val="0"/>
        </w:numPr>
        <w:kinsoku/>
        <w:wordWrap/>
        <w:overflowPunct/>
        <w:topLinePunct w:val="0"/>
        <w:autoSpaceDN/>
        <w:bidi w:val="0"/>
        <w:adjustRightInd/>
        <w:snapToGrid/>
        <w:spacing w:line="600" w:lineRule="exact"/>
        <w:ind w:leftChars="0" w:firstLine="640" w:firstLineChars="200"/>
        <w:jc w:val="left"/>
        <w:textAlignment w:val="auto"/>
        <w:rPr>
          <w:rFonts w:hint="eastAsia" w:eastAsia="黑体" w:cs="黑体"/>
          <w:sz w:val="32"/>
          <w:szCs w:val="32"/>
          <w:highlight w:val="none"/>
        </w:rPr>
      </w:pPr>
      <w:r>
        <w:rPr>
          <w:rFonts w:hint="eastAsia" w:eastAsia="黑体" w:cs="黑体"/>
          <w:sz w:val="32"/>
          <w:szCs w:val="32"/>
          <w:highlight w:val="none"/>
          <w:lang w:val="en-US" w:eastAsia="zh-CN"/>
        </w:rPr>
        <w:t>六、</w:t>
      </w:r>
      <w:r>
        <w:rPr>
          <w:rFonts w:hint="eastAsia" w:eastAsia="黑体" w:cs="黑体"/>
          <w:sz w:val="32"/>
          <w:szCs w:val="32"/>
          <w:highlight w:val="none"/>
        </w:rPr>
        <w:t>部门整体支出绩效情况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楷体" w:hAnsi="楷体" w:eastAsia="楷体"/>
          <w:b w:val="0"/>
          <w:bCs/>
          <w:sz w:val="32"/>
          <w:szCs w:val="32"/>
          <w:highlight w:val="none"/>
        </w:rPr>
      </w:pPr>
      <w:r>
        <w:rPr>
          <w:rFonts w:hint="eastAsia" w:ascii="楷体" w:hAnsi="楷体" w:eastAsia="楷体"/>
          <w:b w:val="0"/>
          <w:bCs/>
          <w:sz w:val="32"/>
          <w:szCs w:val="32"/>
          <w:highlight w:val="none"/>
          <w:lang w:eastAsia="zh-CN"/>
        </w:rPr>
        <w:t>（</w:t>
      </w:r>
      <w:r>
        <w:rPr>
          <w:rFonts w:hint="eastAsia" w:ascii="楷体" w:hAnsi="楷体" w:eastAsia="楷体"/>
          <w:b w:val="0"/>
          <w:bCs/>
          <w:sz w:val="32"/>
          <w:szCs w:val="32"/>
          <w:highlight w:val="none"/>
          <w:lang w:val="en-US" w:eastAsia="zh-CN"/>
        </w:rPr>
        <w:t>一</w:t>
      </w:r>
      <w:r>
        <w:rPr>
          <w:rFonts w:hint="eastAsia" w:ascii="楷体" w:hAnsi="楷体" w:eastAsia="楷体"/>
          <w:b w:val="0"/>
          <w:bCs/>
          <w:sz w:val="32"/>
          <w:szCs w:val="32"/>
          <w:highlight w:val="none"/>
          <w:lang w:eastAsia="zh-CN"/>
        </w:rPr>
        <w:t>）</w:t>
      </w:r>
      <w:r>
        <w:rPr>
          <w:rFonts w:hint="eastAsia" w:ascii="楷体" w:hAnsi="楷体" w:eastAsia="楷体"/>
          <w:b w:val="0"/>
          <w:bCs/>
          <w:sz w:val="32"/>
          <w:szCs w:val="32"/>
          <w:highlight w:val="none"/>
        </w:rPr>
        <w:t>部门整体支出实施情况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eastAsia="仿宋"/>
          <w:kern w:val="0"/>
          <w:sz w:val="32"/>
          <w:szCs w:val="32"/>
          <w:highlight w:val="none"/>
        </w:rPr>
      </w:pPr>
      <w:r>
        <w:rPr>
          <w:rFonts w:hint="eastAsia" w:ascii="仿宋" w:hAnsi="仿宋" w:eastAsia="仿宋" w:cs="仿宋"/>
          <w:b w:val="0"/>
          <w:bCs/>
          <w:kern w:val="0"/>
          <w:sz w:val="32"/>
          <w:szCs w:val="32"/>
          <w:highlight w:val="none"/>
          <w:lang w:val="en-US" w:eastAsia="zh-CN"/>
        </w:rPr>
        <w:t>1</w:t>
      </w:r>
      <w:r>
        <w:rPr>
          <w:rFonts w:hint="eastAsia" w:ascii="仿宋" w:hAnsi="仿宋" w:eastAsia="仿宋" w:cs="仿宋"/>
          <w:b w:val="0"/>
          <w:bCs/>
          <w:kern w:val="0"/>
          <w:sz w:val="32"/>
          <w:szCs w:val="32"/>
          <w:highlight w:val="none"/>
        </w:rPr>
        <w:t>．绩效考核指标：</w:t>
      </w:r>
      <w:r>
        <w:rPr>
          <w:rFonts w:hAnsi="仿宋" w:eastAsia="仿宋"/>
          <w:kern w:val="0"/>
          <w:sz w:val="32"/>
          <w:szCs w:val="32"/>
          <w:highlight w:val="none"/>
        </w:rPr>
        <w:t>年初制定本部门绩效目标考核办法，与部门履职挂钩，对考核指标进行了具体细化，分到各部室组及乡镇街道纪（</w:t>
      </w:r>
      <w:r>
        <w:rPr>
          <w:rFonts w:hint="eastAsia" w:hAnsi="仿宋" w:eastAsia="仿宋"/>
          <w:kern w:val="0"/>
          <w:sz w:val="32"/>
          <w:szCs w:val="32"/>
          <w:highlight w:val="none"/>
        </w:rPr>
        <w:t>工</w:t>
      </w:r>
      <w:r>
        <w:rPr>
          <w:rFonts w:hAnsi="仿宋" w:eastAsia="仿宋"/>
          <w:kern w:val="0"/>
          <w:sz w:val="32"/>
          <w:szCs w:val="32"/>
          <w:highlight w:val="none"/>
        </w:rPr>
        <w:t>）委，年底对各部门履职及目标任务完成情况进行考核评价。</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Ansi="仿宋" w:eastAsia="仿宋"/>
          <w:kern w:val="0"/>
          <w:sz w:val="32"/>
          <w:szCs w:val="32"/>
        </w:rPr>
      </w:pPr>
      <w:r>
        <w:rPr>
          <w:rFonts w:hint="eastAsia" w:ascii="仿宋" w:hAnsi="仿宋" w:eastAsia="仿宋" w:cs="仿宋"/>
          <w:b w:val="0"/>
          <w:bCs/>
          <w:kern w:val="0"/>
          <w:sz w:val="32"/>
          <w:szCs w:val="32"/>
          <w:lang w:val="en-US" w:eastAsia="zh-CN"/>
        </w:rPr>
        <w:t>2.预决算管理：</w:t>
      </w:r>
      <w:r>
        <w:rPr>
          <w:rFonts w:hAnsi="仿宋" w:eastAsia="仿宋"/>
          <w:kern w:val="0"/>
          <w:sz w:val="32"/>
          <w:szCs w:val="32"/>
        </w:rPr>
        <w:t>按照《预算法》要求编制年初部门预算并在门户网站上进行了信息公开。加强部门预算管理，坚持厉行节约，严格控制支出，建立健全财务管理制度，对各项资金的使用严把审核审批监督关，重大开支实行纪委常委会议研究决定，确保各项开支符合国家财经纪律要求。</w:t>
      </w:r>
      <w:r>
        <w:rPr>
          <w:rFonts w:hint="eastAsia" w:hAnsi="仿宋" w:eastAsia="仿宋"/>
          <w:kern w:val="0"/>
          <w:sz w:val="32"/>
          <w:szCs w:val="32"/>
        </w:rPr>
        <w:t>加强预算资金的管理，定时汇总统计分析收支数据情况，控制把握好整体支出实施情况，确保资金运行高效。</w:t>
      </w:r>
      <w:r>
        <w:rPr>
          <w:rFonts w:hAnsi="仿宋" w:eastAsia="仿宋"/>
          <w:kern w:val="0"/>
          <w:sz w:val="32"/>
          <w:szCs w:val="32"/>
        </w:rPr>
        <w:t>根据年度财务数据如实填报决算报表，综合分析决算情况，为财政资金运行提供参考依据。</w:t>
      </w:r>
    </w:p>
    <w:p>
      <w:pPr>
        <w:keepNext w:val="0"/>
        <w:keepLines w:val="0"/>
        <w:pageBreakBefore w:val="0"/>
        <w:widowControl w:val="0"/>
        <w:kinsoku/>
        <w:wordWrap/>
        <w:overflowPunct/>
        <w:topLinePunct w:val="0"/>
        <w:autoSpaceDE w:val="0"/>
        <w:autoSpaceDN/>
        <w:bidi w:val="0"/>
        <w:adjustRightInd/>
        <w:snapToGrid/>
        <w:spacing w:line="600" w:lineRule="exact"/>
        <w:ind w:firstLine="800" w:firstLineChars="250"/>
        <w:textAlignment w:val="auto"/>
        <w:rPr>
          <w:rFonts w:hAnsi="仿宋" w:eastAsia="仿宋"/>
          <w:kern w:val="0"/>
          <w:sz w:val="32"/>
          <w:szCs w:val="32"/>
          <w:highlight w:val="none"/>
        </w:rPr>
      </w:pPr>
      <w:r>
        <w:rPr>
          <w:rFonts w:hint="eastAsia" w:ascii="仿宋" w:hAnsi="仿宋" w:eastAsia="仿宋" w:cs="仿宋"/>
          <w:b w:val="0"/>
          <w:bCs/>
          <w:kern w:val="0"/>
          <w:sz w:val="32"/>
          <w:szCs w:val="32"/>
          <w:lang w:val="en-US" w:eastAsia="zh-CN"/>
        </w:rPr>
        <w:t>3.资产管理：</w:t>
      </w:r>
      <w:r>
        <w:rPr>
          <w:rFonts w:hAnsi="仿宋" w:eastAsia="仿宋"/>
          <w:kern w:val="0"/>
          <w:sz w:val="32"/>
          <w:szCs w:val="32"/>
        </w:rPr>
        <w:t>为了加强单位的固定资产管理，提高固定资产的使用效率，保证国有资产的安全与完整，</w:t>
      </w:r>
      <w:r>
        <w:rPr>
          <w:rFonts w:hint="eastAsia" w:hAnsi="仿宋" w:eastAsia="仿宋"/>
          <w:kern w:val="0"/>
          <w:sz w:val="32"/>
          <w:szCs w:val="32"/>
          <w:lang w:eastAsia="zh-CN"/>
        </w:rPr>
        <w:t>清查盘点了全委固定资产</w:t>
      </w:r>
      <w:r>
        <w:rPr>
          <w:rFonts w:hAnsi="仿宋" w:eastAsia="仿宋"/>
          <w:kern w:val="0"/>
          <w:sz w:val="32"/>
          <w:szCs w:val="32"/>
        </w:rPr>
        <w:t>，</w:t>
      </w:r>
      <w:r>
        <w:rPr>
          <w:rFonts w:hint="eastAsia" w:hAnsi="仿宋" w:eastAsia="仿宋"/>
          <w:kern w:val="0"/>
          <w:sz w:val="32"/>
          <w:szCs w:val="32"/>
          <w:lang w:eastAsia="zh-CN"/>
        </w:rPr>
        <w:t>并对下一步</w:t>
      </w:r>
      <w:r>
        <w:rPr>
          <w:rFonts w:hAnsi="仿宋" w:eastAsia="仿宋"/>
          <w:kern w:val="0"/>
          <w:sz w:val="32"/>
          <w:szCs w:val="32"/>
        </w:rPr>
        <w:t>资产的配置、登记、维护、处置等方面作了</w:t>
      </w:r>
      <w:r>
        <w:rPr>
          <w:rFonts w:hAnsi="仿宋" w:eastAsia="仿宋"/>
          <w:kern w:val="0"/>
          <w:sz w:val="32"/>
          <w:szCs w:val="32"/>
          <w:highlight w:val="none"/>
        </w:rPr>
        <w:t>具体</w:t>
      </w:r>
      <w:r>
        <w:rPr>
          <w:rFonts w:hint="eastAsia" w:hAnsi="仿宋" w:eastAsia="仿宋"/>
          <w:kern w:val="0"/>
          <w:sz w:val="32"/>
          <w:szCs w:val="32"/>
          <w:highlight w:val="none"/>
          <w:lang w:eastAsia="zh-CN"/>
        </w:rPr>
        <w:t>安排</w:t>
      </w:r>
      <w:r>
        <w:rPr>
          <w:rFonts w:hAnsi="仿宋" w:eastAsia="仿宋"/>
          <w:kern w:val="0"/>
          <w:sz w:val="32"/>
          <w:szCs w:val="32"/>
          <w:highlight w:val="none"/>
        </w:rPr>
        <w:t>。至</w:t>
      </w:r>
      <w:r>
        <w:rPr>
          <w:rFonts w:eastAsia="仿宋"/>
          <w:kern w:val="0"/>
          <w:sz w:val="32"/>
          <w:szCs w:val="32"/>
          <w:highlight w:val="none"/>
        </w:rPr>
        <w:t>20</w:t>
      </w:r>
      <w:r>
        <w:rPr>
          <w:rFonts w:hint="eastAsia" w:eastAsia="仿宋"/>
          <w:kern w:val="0"/>
          <w:sz w:val="32"/>
          <w:szCs w:val="32"/>
          <w:highlight w:val="none"/>
          <w:lang w:val="en-US" w:eastAsia="zh-CN"/>
        </w:rPr>
        <w:t>25</w:t>
      </w:r>
      <w:r>
        <w:rPr>
          <w:rFonts w:hAnsi="仿宋" w:eastAsia="仿宋"/>
          <w:kern w:val="0"/>
          <w:sz w:val="32"/>
          <w:szCs w:val="32"/>
          <w:highlight w:val="none"/>
        </w:rPr>
        <w:t>年末，固定资产账面原值</w:t>
      </w:r>
      <w:r>
        <w:rPr>
          <w:rFonts w:hint="eastAsia" w:eastAsia="仿宋"/>
          <w:kern w:val="0"/>
          <w:sz w:val="32"/>
          <w:szCs w:val="32"/>
          <w:highlight w:val="none"/>
          <w:lang w:val="en-US" w:eastAsia="zh-CN"/>
        </w:rPr>
        <w:t>521.44</w:t>
      </w:r>
      <w:r>
        <w:rPr>
          <w:rFonts w:hint="eastAsia" w:eastAsia="仿宋"/>
          <w:kern w:val="0"/>
          <w:sz w:val="32"/>
          <w:szCs w:val="32"/>
          <w:highlight w:val="none"/>
        </w:rPr>
        <w:t>万</w:t>
      </w:r>
      <w:r>
        <w:rPr>
          <w:rFonts w:hAnsi="仿宋" w:eastAsia="仿宋"/>
          <w:kern w:val="0"/>
          <w:sz w:val="32"/>
          <w:szCs w:val="32"/>
          <w:highlight w:val="none"/>
        </w:rPr>
        <w:t>元，累计折旧</w:t>
      </w:r>
      <w:r>
        <w:rPr>
          <w:rFonts w:hint="eastAsia" w:hAnsi="仿宋" w:eastAsia="仿宋"/>
          <w:kern w:val="0"/>
          <w:sz w:val="32"/>
          <w:szCs w:val="32"/>
          <w:highlight w:val="none"/>
          <w:lang w:val="en-US" w:eastAsia="zh-CN"/>
        </w:rPr>
        <w:t>296.36</w:t>
      </w:r>
      <w:r>
        <w:rPr>
          <w:rFonts w:hint="eastAsia" w:hAnsi="仿宋" w:eastAsia="仿宋"/>
          <w:kern w:val="0"/>
          <w:sz w:val="32"/>
          <w:szCs w:val="32"/>
          <w:highlight w:val="none"/>
        </w:rPr>
        <w:t>万</w:t>
      </w:r>
      <w:r>
        <w:rPr>
          <w:rFonts w:hAnsi="仿宋" w:eastAsia="仿宋"/>
          <w:kern w:val="0"/>
          <w:sz w:val="32"/>
          <w:szCs w:val="32"/>
          <w:highlight w:val="none"/>
        </w:rPr>
        <w:t>元，账面净值</w:t>
      </w:r>
      <w:r>
        <w:rPr>
          <w:rFonts w:hint="eastAsia" w:hAnsi="仿宋" w:eastAsia="仿宋"/>
          <w:kern w:val="0"/>
          <w:sz w:val="32"/>
          <w:szCs w:val="32"/>
          <w:highlight w:val="none"/>
          <w:lang w:val="en-US" w:eastAsia="zh-CN"/>
        </w:rPr>
        <w:t>225.08</w:t>
      </w:r>
      <w:r>
        <w:rPr>
          <w:rFonts w:hint="eastAsia" w:hAnsi="仿宋" w:eastAsia="仿宋"/>
          <w:kern w:val="0"/>
          <w:sz w:val="32"/>
          <w:szCs w:val="32"/>
          <w:highlight w:val="none"/>
        </w:rPr>
        <w:t>万</w:t>
      </w:r>
      <w:r>
        <w:rPr>
          <w:rFonts w:hAnsi="仿宋" w:eastAsia="仿宋"/>
          <w:kern w:val="0"/>
          <w:sz w:val="32"/>
          <w:szCs w:val="32"/>
          <w:highlight w:val="none"/>
        </w:rPr>
        <w:t>元。</w:t>
      </w:r>
    </w:p>
    <w:p>
      <w:pPr>
        <w:keepNext w:val="0"/>
        <w:keepLines w:val="0"/>
        <w:pageBreakBefore w:val="0"/>
        <w:widowControl w:val="0"/>
        <w:kinsoku/>
        <w:wordWrap/>
        <w:overflowPunct/>
        <w:topLinePunct w:val="0"/>
        <w:autoSpaceDE w:val="0"/>
        <w:autoSpaceDN/>
        <w:bidi w:val="0"/>
        <w:adjustRightInd/>
        <w:snapToGrid/>
        <w:spacing w:line="600" w:lineRule="exact"/>
        <w:ind w:firstLine="800" w:firstLineChars="250"/>
        <w:textAlignment w:val="auto"/>
        <w:rPr>
          <w:rFonts w:hAnsi="仿宋" w:eastAsia="仿宋"/>
          <w:b/>
          <w:kern w:val="0"/>
          <w:sz w:val="32"/>
          <w:szCs w:val="32"/>
          <w:highlight w:val="none"/>
        </w:rPr>
      </w:pPr>
      <w:r>
        <w:rPr>
          <w:rFonts w:hint="eastAsia" w:ascii="仿宋" w:hAnsi="仿宋" w:eastAsia="仿宋" w:cs="仿宋"/>
          <w:b w:val="0"/>
          <w:bCs/>
          <w:kern w:val="0"/>
          <w:sz w:val="32"/>
          <w:szCs w:val="32"/>
          <w:highlight w:val="none"/>
          <w:lang w:val="en-US" w:eastAsia="zh-CN"/>
        </w:rPr>
        <w:t>4.三公经费管理：</w:t>
      </w:r>
      <w:r>
        <w:rPr>
          <w:rFonts w:eastAsia="仿宋"/>
          <w:kern w:val="0"/>
          <w:sz w:val="32"/>
          <w:szCs w:val="32"/>
          <w:highlight w:val="none"/>
        </w:rPr>
        <w:t>严格执行上级有关文件精神，</w:t>
      </w:r>
      <w:r>
        <w:rPr>
          <w:rFonts w:hAnsi="仿宋" w:eastAsia="仿宋"/>
          <w:kern w:val="0"/>
          <w:sz w:val="32"/>
          <w:szCs w:val="32"/>
          <w:highlight w:val="none"/>
        </w:rPr>
        <w:t>加强</w:t>
      </w:r>
      <w:r>
        <w:rPr>
          <w:rFonts w:eastAsia="仿宋"/>
          <w:kern w:val="0"/>
          <w:sz w:val="32"/>
          <w:szCs w:val="32"/>
          <w:highlight w:val="none"/>
        </w:rPr>
        <w:t>“</w:t>
      </w:r>
      <w:r>
        <w:rPr>
          <w:rFonts w:hAnsi="仿宋" w:eastAsia="仿宋"/>
          <w:kern w:val="0"/>
          <w:sz w:val="32"/>
          <w:szCs w:val="32"/>
          <w:highlight w:val="none"/>
        </w:rPr>
        <w:t>三公经费</w:t>
      </w:r>
      <w:r>
        <w:rPr>
          <w:rFonts w:eastAsia="仿宋"/>
          <w:kern w:val="0"/>
          <w:sz w:val="32"/>
          <w:szCs w:val="32"/>
          <w:highlight w:val="none"/>
        </w:rPr>
        <w:t>”</w:t>
      </w:r>
      <w:r>
        <w:rPr>
          <w:rFonts w:hAnsi="仿宋" w:eastAsia="仿宋"/>
          <w:kern w:val="0"/>
          <w:sz w:val="32"/>
          <w:szCs w:val="32"/>
          <w:highlight w:val="none"/>
        </w:rPr>
        <w:t>管理，</w:t>
      </w:r>
      <w:r>
        <w:rPr>
          <w:rFonts w:hint="eastAsia" w:hAnsi="仿宋" w:eastAsia="仿宋"/>
          <w:kern w:val="0"/>
          <w:sz w:val="32"/>
          <w:szCs w:val="32"/>
          <w:highlight w:val="none"/>
          <w:lang w:eastAsia="zh-CN"/>
        </w:rPr>
        <w:t>严格按照</w:t>
      </w:r>
      <w:r>
        <w:rPr>
          <w:rFonts w:hAnsi="仿宋" w:eastAsia="仿宋"/>
          <w:kern w:val="0"/>
          <w:sz w:val="32"/>
          <w:szCs w:val="32"/>
          <w:highlight w:val="none"/>
        </w:rPr>
        <w:t>机关公务接待管理办法、机关公车管理办法，严控“三公经费”支出。</w:t>
      </w:r>
      <w:r>
        <w:rPr>
          <w:rFonts w:hint="eastAsia" w:hAnsi="仿宋" w:eastAsia="仿宋"/>
          <w:kern w:val="0"/>
          <w:sz w:val="32"/>
          <w:szCs w:val="32"/>
          <w:highlight w:val="none"/>
        </w:rPr>
        <w:t>202</w:t>
      </w:r>
      <w:r>
        <w:rPr>
          <w:rFonts w:hint="eastAsia" w:hAnsi="仿宋" w:eastAsia="仿宋"/>
          <w:kern w:val="0"/>
          <w:sz w:val="32"/>
          <w:szCs w:val="32"/>
          <w:highlight w:val="none"/>
          <w:lang w:val="en-US" w:eastAsia="zh-CN"/>
        </w:rPr>
        <w:t>5</w:t>
      </w:r>
      <w:r>
        <w:rPr>
          <w:rFonts w:hint="eastAsia" w:hAnsi="仿宋" w:eastAsia="仿宋"/>
          <w:kern w:val="0"/>
          <w:sz w:val="32"/>
          <w:szCs w:val="32"/>
          <w:highlight w:val="none"/>
        </w:rPr>
        <w:t>年</w:t>
      </w:r>
      <w:r>
        <w:rPr>
          <w:rFonts w:eastAsia="仿宋"/>
          <w:kern w:val="0"/>
          <w:sz w:val="32"/>
          <w:szCs w:val="32"/>
          <w:highlight w:val="none"/>
        </w:rPr>
        <w:t>“</w:t>
      </w:r>
      <w:r>
        <w:rPr>
          <w:rFonts w:hAnsi="仿宋" w:eastAsia="仿宋"/>
          <w:kern w:val="0"/>
          <w:sz w:val="32"/>
          <w:szCs w:val="32"/>
          <w:highlight w:val="none"/>
        </w:rPr>
        <w:t>三公经费</w:t>
      </w:r>
      <w:r>
        <w:rPr>
          <w:rFonts w:eastAsia="仿宋"/>
          <w:kern w:val="0"/>
          <w:sz w:val="32"/>
          <w:szCs w:val="32"/>
          <w:highlight w:val="none"/>
        </w:rPr>
        <w:t>”总额</w:t>
      </w:r>
      <w:r>
        <w:rPr>
          <w:rFonts w:hint="eastAsia" w:eastAsia="仿宋"/>
          <w:kern w:val="0"/>
          <w:sz w:val="32"/>
          <w:szCs w:val="32"/>
          <w:highlight w:val="none"/>
          <w:lang w:val="en-US" w:eastAsia="zh-CN"/>
        </w:rPr>
        <w:t>20.17</w:t>
      </w:r>
      <w:r>
        <w:rPr>
          <w:rFonts w:hint="eastAsia" w:hAnsi="仿宋" w:eastAsia="仿宋"/>
          <w:kern w:val="0"/>
          <w:sz w:val="32"/>
          <w:szCs w:val="32"/>
          <w:highlight w:val="none"/>
        </w:rPr>
        <w:t>万元，其中</w:t>
      </w:r>
      <w:r>
        <w:rPr>
          <w:rFonts w:hint="eastAsia" w:hAnsi="仿宋" w:eastAsia="仿宋"/>
          <w:kern w:val="0"/>
          <w:sz w:val="32"/>
          <w:szCs w:val="32"/>
          <w:highlight w:val="none"/>
          <w:lang w:eastAsia="zh-CN"/>
        </w:rPr>
        <w:t>公务用车运行维护费</w:t>
      </w:r>
      <w:r>
        <w:rPr>
          <w:rFonts w:hint="eastAsia" w:hAnsi="仿宋" w:eastAsia="仿宋"/>
          <w:kern w:val="0"/>
          <w:sz w:val="32"/>
          <w:szCs w:val="32"/>
          <w:highlight w:val="none"/>
          <w:lang w:val="en-US" w:eastAsia="zh-CN"/>
        </w:rPr>
        <w:t>19.98万元（我单位公</w:t>
      </w:r>
      <w:r>
        <w:rPr>
          <w:rFonts w:hint="eastAsia" w:hAnsi="仿宋" w:eastAsia="仿宋"/>
          <w:kern w:val="0"/>
          <w:sz w:val="32"/>
          <w:szCs w:val="32"/>
          <w:highlight w:val="none"/>
        </w:rPr>
        <w:t>务车辆</w:t>
      </w:r>
      <w:r>
        <w:rPr>
          <w:rFonts w:hint="eastAsia" w:hAnsi="仿宋" w:eastAsia="仿宋"/>
          <w:kern w:val="0"/>
          <w:sz w:val="32"/>
          <w:szCs w:val="32"/>
          <w:highlight w:val="none"/>
          <w:lang w:eastAsia="zh-CN"/>
        </w:rPr>
        <w:t>共计</w:t>
      </w:r>
      <w:r>
        <w:rPr>
          <w:rFonts w:hint="eastAsia" w:hAnsi="仿宋" w:eastAsia="仿宋"/>
          <w:kern w:val="0"/>
          <w:sz w:val="32"/>
          <w:szCs w:val="32"/>
          <w:highlight w:val="none"/>
        </w:rPr>
        <w:t>5台</w:t>
      </w:r>
      <w:r>
        <w:rPr>
          <w:rFonts w:hint="eastAsia" w:eastAsia="仿宋_GB2312"/>
          <w:sz w:val="32"/>
          <w:szCs w:val="32"/>
          <w:highlight w:val="none"/>
          <w:lang w:eastAsia="zh-CN"/>
        </w:rPr>
        <w:t>）；公务接待费</w:t>
      </w:r>
      <w:r>
        <w:rPr>
          <w:rFonts w:hint="eastAsia" w:eastAsia="仿宋_GB2312"/>
          <w:sz w:val="32"/>
          <w:szCs w:val="32"/>
          <w:highlight w:val="none"/>
          <w:lang w:val="en-US" w:eastAsia="zh-CN"/>
        </w:rPr>
        <w:t>0.19万元</w:t>
      </w:r>
      <w:r>
        <w:rPr>
          <w:rFonts w:hAnsi="仿宋" w:eastAsia="仿宋"/>
          <w:kern w:val="0"/>
          <w:sz w:val="32"/>
          <w:szCs w:val="32"/>
          <w:highlight w:val="none"/>
        </w:rPr>
        <w:t>。</w:t>
      </w:r>
    </w:p>
    <w:p>
      <w:pPr>
        <w:keepNext w:val="0"/>
        <w:keepLines w:val="0"/>
        <w:pageBreakBefore w:val="0"/>
        <w:widowControl w:val="0"/>
        <w:kinsoku/>
        <w:wordWrap/>
        <w:overflowPunct/>
        <w:topLinePunct w:val="0"/>
        <w:autoSpaceDE w:val="0"/>
        <w:autoSpaceDN/>
        <w:bidi w:val="0"/>
        <w:adjustRightInd/>
        <w:snapToGrid/>
        <w:spacing w:line="600" w:lineRule="exact"/>
        <w:ind w:firstLine="800" w:firstLineChars="250"/>
        <w:textAlignment w:val="auto"/>
        <w:rPr>
          <w:rFonts w:hint="eastAsia" w:hAnsi="仿宋" w:eastAsia="仿宋"/>
          <w:kern w:val="0"/>
          <w:sz w:val="32"/>
          <w:szCs w:val="32"/>
          <w:lang w:eastAsia="zh-CN"/>
        </w:rPr>
      </w:pPr>
      <w:r>
        <w:rPr>
          <w:rFonts w:hint="eastAsia" w:ascii="仿宋" w:hAnsi="仿宋" w:eastAsia="仿宋" w:cs="仿宋"/>
          <w:b w:val="0"/>
          <w:bCs/>
          <w:kern w:val="0"/>
          <w:sz w:val="32"/>
          <w:szCs w:val="32"/>
          <w:lang w:val="en-US" w:eastAsia="zh-CN"/>
        </w:rPr>
        <w:t>5.内部控制管理：</w:t>
      </w:r>
      <w:r>
        <w:rPr>
          <w:rFonts w:hint="eastAsia" w:hAnsi="仿宋" w:eastAsia="仿宋"/>
          <w:kern w:val="0"/>
          <w:sz w:val="32"/>
          <w:szCs w:val="32"/>
        </w:rPr>
        <w:t>根据《内部控制规范》的要求，建立健全内部控制制度，明确各相关部室或岗位在内部监督中的职责权限，规定内部监督的程序和要求，并</w:t>
      </w:r>
      <w:r>
        <w:rPr>
          <w:rFonts w:hint="eastAsia" w:hAnsi="仿宋" w:eastAsia="仿宋"/>
          <w:kern w:val="0"/>
          <w:sz w:val="32"/>
          <w:szCs w:val="32"/>
          <w:lang w:val="en-US" w:eastAsia="zh-CN"/>
        </w:rPr>
        <w:t>完善《机关财务管理制度》等</w:t>
      </w:r>
      <w:r>
        <w:rPr>
          <w:rFonts w:hint="eastAsia" w:hAnsi="仿宋" w:eastAsia="仿宋"/>
          <w:kern w:val="0"/>
          <w:sz w:val="32"/>
          <w:szCs w:val="32"/>
        </w:rPr>
        <w:t>多项制度</w:t>
      </w:r>
      <w:r>
        <w:rPr>
          <w:rFonts w:hint="eastAsia" w:hAnsi="仿宋" w:eastAsia="仿宋"/>
          <w:kern w:val="0"/>
          <w:sz w:val="32"/>
          <w:szCs w:val="32"/>
          <w:lang w:eastAsia="zh-CN"/>
        </w:rPr>
        <w:t>。</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楷体" w:hAnsi="楷体" w:eastAsia="楷体"/>
          <w:b w:val="0"/>
          <w:bCs/>
          <w:sz w:val="32"/>
          <w:szCs w:val="32"/>
          <w:lang w:eastAsia="zh-CN"/>
        </w:rPr>
      </w:pPr>
      <w:r>
        <w:rPr>
          <w:rFonts w:hint="eastAsia" w:ascii="楷体" w:hAnsi="楷体" w:eastAsia="楷体"/>
          <w:b w:val="0"/>
          <w:bCs/>
          <w:sz w:val="32"/>
          <w:szCs w:val="32"/>
          <w:lang w:eastAsia="zh-CN"/>
        </w:rPr>
        <w:t>（</w:t>
      </w:r>
      <w:r>
        <w:rPr>
          <w:rFonts w:hint="eastAsia" w:ascii="楷体" w:hAnsi="楷体" w:eastAsia="楷体"/>
          <w:b w:val="0"/>
          <w:bCs/>
          <w:sz w:val="32"/>
          <w:szCs w:val="32"/>
          <w:lang w:val="en-US" w:eastAsia="zh-CN"/>
        </w:rPr>
        <w:t>二</w:t>
      </w:r>
      <w:r>
        <w:rPr>
          <w:rFonts w:hint="eastAsia" w:ascii="楷体" w:hAnsi="楷体" w:eastAsia="楷体"/>
          <w:b w:val="0"/>
          <w:bCs/>
          <w:sz w:val="32"/>
          <w:szCs w:val="32"/>
          <w:lang w:eastAsia="zh-CN"/>
        </w:rPr>
        <w:t>）绩效评价工作情况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仿宋" w:hAnsi="仿宋" w:eastAsia="仿宋" w:cs="仿宋"/>
          <w:b w:val="0"/>
          <w:bCs/>
          <w:kern w:val="0"/>
          <w:sz w:val="32"/>
          <w:szCs w:val="32"/>
          <w:lang w:val="en-US" w:eastAsia="zh-CN"/>
        </w:rPr>
      </w:pPr>
      <w:r>
        <w:rPr>
          <w:rFonts w:hint="eastAsia" w:ascii="仿宋" w:hAnsi="仿宋" w:eastAsia="仿宋" w:cs="仿宋"/>
          <w:b w:val="0"/>
          <w:bCs/>
          <w:kern w:val="0"/>
          <w:sz w:val="32"/>
          <w:szCs w:val="32"/>
          <w:lang w:val="en-US" w:eastAsia="zh-CN"/>
        </w:rPr>
        <w:t>1.绩效评价目的</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Ansi="仿宋" w:eastAsia="仿宋"/>
          <w:kern w:val="0"/>
          <w:sz w:val="32"/>
          <w:szCs w:val="32"/>
        </w:rPr>
      </w:pPr>
      <w:r>
        <w:rPr>
          <w:rFonts w:hint="eastAsia" w:hAnsi="仿宋" w:eastAsia="仿宋"/>
          <w:kern w:val="0"/>
          <w:sz w:val="32"/>
          <w:szCs w:val="32"/>
          <w:lang w:val="en-US" w:eastAsia="zh-CN"/>
        </w:rPr>
        <w:t>为</w:t>
      </w:r>
      <w:r>
        <w:rPr>
          <w:rFonts w:hint="eastAsia" w:hAnsi="仿宋" w:eastAsia="仿宋"/>
          <w:kern w:val="0"/>
          <w:sz w:val="32"/>
          <w:szCs w:val="32"/>
        </w:rPr>
        <w:t>进一步规范财政资金管理，牢固树立预算绩效理念，强化支出责任，提高财政资金使用效益。</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仿宋" w:hAnsi="仿宋" w:eastAsia="仿宋" w:cs="仿宋"/>
          <w:b w:val="0"/>
          <w:bCs/>
          <w:kern w:val="0"/>
          <w:sz w:val="32"/>
          <w:szCs w:val="32"/>
          <w:lang w:val="en-US" w:eastAsia="zh-CN"/>
        </w:rPr>
      </w:pPr>
      <w:r>
        <w:rPr>
          <w:rFonts w:hint="eastAsia" w:ascii="仿宋" w:hAnsi="仿宋" w:eastAsia="仿宋" w:cs="仿宋"/>
          <w:b w:val="0"/>
          <w:bCs/>
          <w:kern w:val="0"/>
          <w:sz w:val="32"/>
          <w:szCs w:val="32"/>
          <w:lang w:val="en-US" w:eastAsia="zh-CN"/>
        </w:rPr>
        <w:t>2.绩效评价工作过程</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hAnsi="仿宋" w:eastAsia="仿宋"/>
          <w:kern w:val="0"/>
          <w:sz w:val="32"/>
          <w:szCs w:val="32"/>
        </w:rPr>
      </w:pPr>
      <w:r>
        <w:rPr>
          <w:rFonts w:hint="eastAsia" w:hAnsi="仿宋" w:eastAsia="仿宋"/>
          <w:kern w:val="0"/>
          <w:sz w:val="32"/>
          <w:szCs w:val="32"/>
        </w:rPr>
        <w:t>一是</w:t>
      </w:r>
      <w:r>
        <w:rPr>
          <w:rFonts w:hint="eastAsia" w:hAnsi="仿宋" w:eastAsia="仿宋"/>
          <w:kern w:val="0"/>
          <w:sz w:val="32"/>
          <w:szCs w:val="32"/>
          <w:lang w:eastAsia="zh-CN"/>
        </w:rPr>
        <w:t>明确角色与职责</w:t>
      </w:r>
      <w:r>
        <w:rPr>
          <w:rFonts w:hint="eastAsia" w:hAnsi="仿宋" w:eastAsia="仿宋"/>
          <w:kern w:val="0"/>
          <w:sz w:val="32"/>
          <w:szCs w:val="32"/>
        </w:rPr>
        <w:t>。</w:t>
      </w:r>
      <w:r>
        <w:rPr>
          <w:rFonts w:hint="eastAsia" w:hAnsi="仿宋" w:eastAsia="仿宋"/>
          <w:kern w:val="0"/>
          <w:sz w:val="32"/>
          <w:szCs w:val="32"/>
          <w:lang w:eastAsia="zh-CN"/>
        </w:rPr>
        <w:t>由</w:t>
      </w:r>
      <w:r>
        <w:rPr>
          <w:rFonts w:hint="eastAsia" w:hAnsi="仿宋" w:eastAsia="仿宋"/>
          <w:kern w:val="0"/>
          <w:sz w:val="32"/>
          <w:szCs w:val="32"/>
        </w:rPr>
        <w:t>委办公室</w:t>
      </w:r>
      <w:r>
        <w:rPr>
          <w:rFonts w:hint="eastAsia" w:hAnsi="仿宋" w:eastAsia="仿宋"/>
          <w:kern w:val="0"/>
          <w:sz w:val="32"/>
          <w:szCs w:val="32"/>
          <w:lang w:eastAsia="zh-CN"/>
        </w:rPr>
        <w:t>的</w:t>
      </w:r>
      <w:r>
        <w:rPr>
          <w:rFonts w:hint="eastAsia" w:hAnsi="仿宋" w:eastAsia="仿宋"/>
          <w:kern w:val="0"/>
          <w:sz w:val="32"/>
          <w:szCs w:val="32"/>
        </w:rPr>
        <w:t>财务</w:t>
      </w:r>
      <w:r>
        <w:rPr>
          <w:rFonts w:hint="eastAsia" w:hAnsi="仿宋" w:eastAsia="仿宋"/>
          <w:kern w:val="0"/>
          <w:sz w:val="32"/>
          <w:szCs w:val="32"/>
          <w:lang w:eastAsia="zh-CN"/>
        </w:rPr>
        <w:t>及</w:t>
      </w:r>
      <w:r>
        <w:rPr>
          <w:rFonts w:hint="eastAsia" w:hAnsi="仿宋" w:eastAsia="仿宋"/>
          <w:kern w:val="0"/>
          <w:sz w:val="32"/>
          <w:szCs w:val="32"/>
        </w:rPr>
        <w:t>相关人员</w:t>
      </w:r>
      <w:r>
        <w:rPr>
          <w:rFonts w:hint="eastAsia" w:hAnsi="仿宋" w:eastAsia="仿宋"/>
          <w:kern w:val="0"/>
          <w:sz w:val="32"/>
          <w:szCs w:val="32"/>
          <w:lang w:eastAsia="zh-CN"/>
        </w:rPr>
        <w:t>负责绩效评价工作，</w:t>
      </w:r>
      <w:r>
        <w:rPr>
          <w:rFonts w:hint="eastAsia" w:hAnsi="仿宋" w:eastAsia="仿宋"/>
          <w:kern w:val="0"/>
          <w:sz w:val="32"/>
          <w:szCs w:val="32"/>
        </w:rPr>
        <w:t>明确工作职责和分工。</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hAnsi="仿宋" w:eastAsia="仿宋"/>
          <w:kern w:val="0"/>
          <w:sz w:val="32"/>
          <w:szCs w:val="32"/>
        </w:rPr>
      </w:pPr>
      <w:r>
        <w:rPr>
          <w:rFonts w:hint="eastAsia" w:hAnsi="仿宋" w:eastAsia="仿宋"/>
          <w:kern w:val="0"/>
          <w:sz w:val="32"/>
          <w:szCs w:val="32"/>
        </w:rPr>
        <w:t>二是制定评价方案。评价方案包括评价依据、评价内容、评价方法、评价指标、组织实施步骤等内容。</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Ansi="仿宋" w:eastAsia="仿宋"/>
          <w:kern w:val="0"/>
          <w:sz w:val="32"/>
          <w:szCs w:val="32"/>
        </w:rPr>
      </w:pPr>
      <w:r>
        <w:rPr>
          <w:rFonts w:hint="eastAsia" w:hAnsi="仿宋" w:eastAsia="仿宋"/>
          <w:kern w:val="0"/>
          <w:sz w:val="32"/>
          <w:szCs w:val="32"/>
        </w:rPr>
        <w:t>三是实施绩效评价。收集相关法律法规、文件制度、部门职能职责、年度工作计划等各种资料，对收集的各种资料进行审核，按照确定的评价指标、评价标准和评价方法进行打分，形成自评结论。</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仿宋" w:hAnsi="仿宋" w:eastAsia="仿宋" w:cs="仿宋"/>
          <w:b w:val="0"/>
          <w:bCs/>
          <w:kern w:val="0"/>
          <w:sz w:val="32"/>
          <w:szCs w:val="32"/>
          <w:lang w:val="en-US" w:eastAsia="zh-CN"/>
        </w:rPr>
      </w:pPr>
      <w:r>
        <w:rPr>
          <w:rFonts w:hint="eastAsia" w:ascii="黑体" w:hAnsi="黑体" w:eastAsia="黑体"/>
          <w:sz w:val="32"/>
          <w:szCs w:val="32"/>
          <w:lang w:val="en-US" w:eastAsia="zh-CN"/>
        </w:rPr>
        <w:t>3.</w:t>
      </w:r>
      <w:r>
        <w:rPr>
          <w:rFonts w:hint="eastAsia" w:ascii="仿宋" w:hAnsi="仿宋" w:eastAsia="仿宋" w:cs="仿宋"/>
          <w:b w:val="0"/>
          <w:bCs/>
          <w:kern w:val="0"/>
          <w:sz w:val="32"/>
          <w:szCs w:val="32"/>
          <w:lang w:val="en-US" w:eastAsia="zh-CN"/>
        </w:rPr>
        <w:t>主要绩效及评价结论</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hAnsi="仿宋" w:eastAsia="仿宋"/>
          <w:kern w:val="0"/>
          <w:sz w:val="32"/>
          <w:szCs w:val="32"/>
          <w:lang w:val="en-US" w:eastAsia="zh-CN"/>
        </w:rPr>
      </w:pPr>
      <w:r>
        <w:rPr>
          <w:rFonts w:hint="eastAsia" w:hAnsi="仿宋" w:eastAsia="仿宋"/>
          <w:kern w:val="0"/>
          <w:sz w:val="32"/>
          <w:szCs w:val="32"/>
        </w:rPr>
        <w:t>经过对202</w:t>
      </w:r>
      <w:r>
        <w:rPr>
          <w:rFonts w:hint="eastAsia" w:hAnsi="仿宋" w:eastAsia="仿宋"/>
          <w:kern w:val="0"/>
          <w:sz w:val="32"/>
          <w:szCs w:val="32"/>
          <w:lang w:val="en-US" w:eastAsia="zh-CN"/>
        </w:rPr>
        <w:t>5</w:t>
      </w:r>
      <w:r>
        <w:rPr>
          <w:rFonts w:hint="eastAsia" w:hAnsi="仿宋" w:eastAsia="仿宋"/>
          <w:kern w:val="0"/>
          <w:sz w:val="32"/>
          <w:szCs w:val="32"/>
        </w:rPr>
        <w:t>年的履职情况、业务情况、财务情况的综合分析可以得出，区纪委监委部门整体支出的目标设定</w:t>
      </w:r>
      <w:r>
        <w:rPr>
          <w:rFonts w:hint="eastAsia" w:hAnsi="仿宋" w:eastAsia="仿宋"/>
          <w:kern w:val="0"/>
          <w:sz w:val="32"/>
          <w:szCs w:val="32"/>
          <w:lang w:eastAsia="zh-CN"/>
        </w:rPr>
        <w:t>、</w:t>
      </w:r>
      <w:r>
        <w:rPr>
          <w:rFonts w:hint="eastAsia" w:hAnsi="仿宋" w:eastAsia="仿宋"/>
          <w:kern w:val="0"/>
          <w:sz w:val="32"/>
          <w:szCs w:val="32"/>
        </w:rPr>
        <w:t>预算配置</w:t>
      </w:r>
      <w:r>
        <w:rPr>
          <w:rFonts w:hint="eastAsia" w:hAnsi="仿宋" w:eastAsia="仿宋"/>
          <w:kern w:val="0"/>
          <w:sz w:val="32"/>
          <w:szCs w:val="32"/>
          <w:lang w:eastAsia="zh-CN"/>
        </w:rPr>
        <w:t>、</w:t>
      </w:r>
      <w:r>
        <w:rPr>
          <w:rFonts w:hint="eastAsia" w:hAnsi="仿宋" w:eastAsia="仿宋"/>
          <w:kern w:val="0"/>
          <w:sz w:val="32"/>
          <w:szCs w:val="32"/>
        </w:rPr>
        <w:t>预算执行</w:t>
      </w:r>
      <w:r>
        <w:rPr>
          <w:rFonts w:hint="eastAsia" w:hAnsi="仿宋" w:eastAsia="仿宋"/>
          <w:kern w:val="0"/>
          <w:sz w:val="32"/>
          <w:szCs w:val="32"/>
          <w:lang w:eastAsia="zh-CN"/>
        </w:rPr>
        <w:t>、</w:t>
      </w:r>
      <w:r>
        <w:rPr>
          <w:rFonts w:hint="eastAsia" w:hAnsi="仿宋" w:eastAsia="仿宋"/>
          <w:kern w:val="0"/>
          <w:sz w:val="32"/>
          <w:szCs w:val="32"/>
          <w:lang w:val="en-US" w:eastAsia="zh-CN"/>
        </w:rPr>
        <w:t>预算</w:t>
      </w:r>
      <w:r>
        <w:rPr>
          <w:rFonts w:hint="eastAsia" w:hAnsi="仿宋" w:eastAsia="仿宋"/>
          <w:kern w:val="0"/>
          <w:sz w:val="32"/>
          <w:szCs w:val="32"/>
        </w:rPr>
        <w:t>管理</w:t>
      </w:r>
      <w:r>
        <w:rPr>
          <w:rFonts w:hint="eastAsia" w:hAnsi="仿宋" w:eastAsia="仿宋"/>
          <w:kern w:val="0"/>
          <w:sz w:val="32"/>
          <w:szCs w:val="32"/>
          <w:lang w:eastAsia="zh-CN"/>
        </w:rPr>
        <w:t>、</w:t>
      </w:r>
      <w:r>
        <w:rPr>
          <w:rFonts w:hint="eastAsia" w:hAnsi="仿宋" w:eastAsia="仿宋"/>
          <w:kern w:val="0"/>
          <w:sz w:val="32"/>
          <w:szCs w:val="32"/>
        </w:rPr>
        <w:t>资产管理</w:t>
      </w:r>
      <w:r>
        <w:rPr>
          <w:rFonts w:hint="eastAsia" w:hAnsi="仿宋" w:eastAsia="仿宋"/>
          <w:kern w:val="0"/>
          <w:sz w:val="32"/>
          <w:szCs w:val="32"/>
          <w:lang w:eastAsia="zh-CN"/>
        </w:rPr>
        <w:t>、</w:t>
      </w:r>
      <w:r>
        <w:rPr>
          <w:rFonts w:hint="eastAsia" w:hAnsi="仿宋" w:eastAsia="仿宋"/>
          <w:kern w:val="0"/>
          <w:sz w:val="32"/>
          <w:szCs w:val="32"/>
          <w:lang w:val="en-US" w:eastAsia="zh-CN"/>
        </w:rPr>
        <w:t>职责</w:t>
      </w:r>
      <w:r>
        <w:rPr>
          <w:rFonts w:hint="eastAsia" w:hAnsi="仿宋" w:eastAsia="仿宋"/>
          <w:kern w:val="0"/>
          <w:sz w:val="32"/>
          <w:szCs w:val="32"/>
        </w:rPr>
        <w:t>履</w:t>
      </w:r>
      <w:r>
        <w:rPr>
          <w:rFonts w:hint="eastAsia" w:hAnsi="仿宋" w:eastAsia="仿宋"/>
          <w:kern w:val="0"/>
          <w:sz w:val="32"/>
          <w:szCs w:val="32"/>
          <w:lang w:val="en-US" w:eastAsia="zh-CN"/>
        </w:rPr>
        <w:t xml:space="preserve">行和履职效益等方面都较好，圆满的完成了2025年的各项工作任务。   </w:t>
      </w:r>
    </w:p>
    <w:p>
      <w:pPr>
        <w:keepNext w:val="0"/>
        <w:keepLines w:val="0"/>
        <w:pageBreakBefore w:val="0"/>
        <w:widowControl w:val="0"/>
        <w:numPr>
          <w:ilvl w:val="0"/>
          <w:numId w:val="0"/>
        </w:numPr>
        <w:kinsoku/>
        <w:wordWrap/>
        <w:overflowPunct/>
        <w:topLinePunct w:val="0"/>
        <w:autoSpaceDN/>
        <w:bidi w:val="0"/>
        <w:adjustRightInd/>
        <w:snapToGrid/>
        <w:spacing w:line="600" w:lineRule="exact"/>
        <w:ind w:left="640" w:leftChars="0"/>
        <w:textAlignment w:val="auto"/>
        <w:rPr>
          <w:rFonts w:hint="eastAsia" w:ascii="黑体" w:hAnsi="黑体" w:eastAsia="黑体"/>
          <w:sz w:val="32"/>
          <w:szCs w:val="32"/>
        </w:rPr>
      </w:pPr>
      <w:r>
        <w:rPr>
          <w:rFonts w:hint="eastAsia" w:ascii="黑体" w:hAnsi="黑体" w:eastAsia="黑体"/>
          <w:sz w:val="32"/>
          <w:szCs w:val="32"/>
          <w:lang w:val="en-US" w:eastAsia="zh-CN"/>
        </w:rPr>
        <w:t>七、</w:t>
      </w:r>
      <w:r>
        <w:rPr>
          <w:rFonts w:hint="eastAsia" w:ascii="黑体" w:hAnsi="黑体" w:eastAsia="黑体"/>
          <w:sz w:val="32"/>
          <w:szCs w:val="32"/>
        </w:rPr>
        <w:t>存在的问题及原因分析</w:t>
      </w:r>
    </w:p>
    <w:p>
      <w:pPr>
        <w:keepNext w:val="0"/>
        <w:keepLines w:val="0"/>
        <w:pageBreakBefore w:val="0"/>
        <w:widowControl w:val="0"/>
        <w:numPr>
          <w:ilvl w:val="0"/>
          <w:numId w:val="0"/>
        </w:numPr>
        <w:kinsoku/>
        <w:wordWrap/>
        <w:overflowPunct/>
        <w:topLinePunct w:val="0"/>
        <w:autoSpaceDN/>
        <w:bidi w:val="0"/>
        <w:adjustRightInd/>
        <w:snapToGrid/>
        <w:spacing w:line="600" w:lineRule="exact"/>
        <w:ind w:firstLine="640" w:firstLineChars="200"/>
        <w:textAlignment w:val="auto"/>
        <w:rPr>
          <w:rFonts w:hint="eastAsia" w:hAnsi="仿宋" w:eastAsia="仿宋"/>
          <w:color w:val="000000"/>
          <w:kern w:val="0"/>
          <w:sz w:val="32"/>
          <w:szCs w:val="32"/>
          <w:highlight w:val="none"/>
          <w:lang w:eastAsia="zh-CN"/>
        </w:rPr>
      </w:pPr>
      <w:r>
        <w:rPr>
          <w:rFonts w:hint="eastAsia" w:hAnsi="仿宋" w:eastAsia="仿宋"/>
          <w:color w:val="000000"/>
          <w:kern w:val="0"/>
          <w:sz w:val="32"/>
          <w:szCs w:val="32"/>
          <w:highlight w:val="none"/>
          <w:lang w:eastAsia="zh-CN"/>
        </w:rPr>
        <w:t>预决算金额相差较大，主要是因为日常实际工作需要，上级转移资金以及本年追加资金都是办理的预算追加，致年初预算与年终决算金额相差较大。</w:t>
      </w:r>
    </w:p>
    <w:p>
      <w:pPr>
        <w:keepNext w:val="0"/>
        <w:keepLines w:val="0"/>
        <w:pageBreakBefore w:val="0"/>
        <w:widowControl w:val="0"/>
        <w:numPr>
          <w:ilvl w:val="0"/>
          <w:numId w:val="0"/>
        </w:numPr>
        <w:kinsoku/>
        <w:wordWrap/>
        <w:overflowPunct/>
        <w:topLinePunct w:val="0"/>
        <w:autoSpaceDN/>
        <w:bidi w:val="0"/>
        <w:adjustRightInd/>
        <w:snapToGrid/>
        <w:spacing w:line="600" w:lineRule="exact"/>
        <w:ind w:left="640" w:leftChars="0"/>
        <w:textAlignment w:val="auto"/>
        <w:rPr>
          <w:rFonts w:hint="eastAsia" w:ascii="黑体" w:hAnsi="黑体" w:eastAsia="黑体"/>
          <w:sz w:val="32"/>
          <w:szCs w:val="32"/>
        </w:rPr>
      </w:pPr>
      <w:r>
        <w:rPr>
          <w:rFonts w:hint="eastAsia" w:ascii="黑体" w:hAnsi="黑体" w:eastAsia="黑体"/>
          <w:sz w:val="32"/>
          <w:szCs w:val="32"/>
          <w:lang w:val="en-US" w:eastAsia="zh-CN"/>
        </w:rPr>
        <w:t>八、</w:t>
      </w:r>
      <w:r>
        <w:rPr>
          <w:rFonts w:hint="eastAsia" w:ascii="黑体" w:hAnsi="黑体" w:eastAsia="黑体"/>
          <w:sz w:val="32"/>
          <w:szCs w:val="32"/>
        </w:rPr>
        <w:t>下一步改进措施</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hAnsi="仿宋" w:eastAsia="仿宋"/>
          <w:color w:val="000000"/>
          <w:kern w:val="0"/>
          <w:sz w:val="32"/>
          <w:szCs w:val="32"/>
          <w:highlight w:val="none"/>
        </w:rPr>
      </w:pPr>
      <w:r>
        <w:rPr>
          <w:rFonts w:hint="eastAsia" w:hAnsi="仿宋" w:eastAsia="仿宋"/>
          <w:color w:val="000000"/>
          <w:kern w:val="0"/>
          <w:sz w:val="32"/>
          <w:szCs w:val="32"/>
          <w:highlight w:val="none"/>
        </w:rPr>
        <w:t>加强预决算的指导，预算执行情况直接影响部门整体支出绩效，要重视预算执行效果，严格把控资金运行，使财政资金发挥更大的效益。</w:t>
      </w:r>
    </w:p>
    <w:p>
      <w:pPr>
        <w:keepNext w:val="0"/>
        <w:keepLines w:val="0"/>
        <w:pageBreakBefore w:val="0"/>
        <w:widowControl w:val="0"/>
        <w:numPr>
          <w:ilvl w:val="0"/>
          <w:numId w:val="0"/>
        </w:numPr>
        <w:kinsoku/>
        <w:wordWrap/>
        <w:overflowPunct/>
        <w:topLinePunct w:val="0"/>
        <w:autoSpaceDN/>
        <w:bidi w:val="0"/>
        <w:adjustRightInd/>
        <w:snapToGrid/>
        <w:spacing w:line="600" w:lineRule="exact"/>
        <w:ind w:left="640" w:leftChars="0"/>
        <w:textAlignment w:val="auto"/>
        <w:rPr>
          <w:rFonts w:hint="eastAsia" w:ascii="黑体" w:hAnsi="黑体" w:eastAsia="黑体"/>
          <w:sz w:val="32"/>
          <w:szCs w:val="32"/>
        </w:rPr>
      </w:pPr>
      <w:r>
        <w:rPr>
          <w:rFonts w:hint="eastAsia" w:ascii="黑体" w:hAnsi="黑体" w:eastAsia="黑体"/>
          <w:sz w:val="32"/>
          <w:szCs w:val="32"/>
          <w:lang w:val="en-US" w:eastAsia="zh-CN"/>
        </w:rPr>
        <w:t>九、</w:t>
      </w:r>
      <w:r>
        <w:rPr>
          <w:rFonts w:hint="eastAsia" w:ascii="黑体" w:hAnsi="黑体" w:eastAsia="黑体"/>
          <w:sz w:val="32"/>
          <w:szCs w:val="32"/>
        </w:rPr>
        <w:t>绩效自评结果拟应用和公开情况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hAnsi="仿宋" w:eastAsia="仿宋"/>
          <w:color w:val="000000"/>
          <w:kern w:val="0"/>
          <w:sz w:val="32"/>
          <w:szCs w:val="32"/>
          <w:highlight w:val="none"/>
          <w:lang w:val="en-US" w:eastAsia="zh-CN"/>
        </w:rPr>
      </w:pPr>
      <w:r>
        <w:rPr>
          <w:rFonts w:hint="eastAsia" w:hAnsi="仿宋" w:eastAsia="仿宋"/>
          <w:color w:val="000000"/>
          <w:kern w:val="0"/>
          <w:sz w:val="32"/>
          <w:szCs w:val="32"/>
          <w:highlight w:val="none"/>
          <w:lang w:val="en-US" w:eastAsia="zh-CN"/>
        </w:rPr>
        <w:t>按照财政部门相关要求，在门户网站上进行公开公示。</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ascii="黑体" w:hAnsi="黑体" w:eastAsia="黑体"/>
          <w:sz w:val="32"/>
          <w:szCs w:val="32"/>
        </w:rPr>
      </w:pPr>
      <w:r>
        <w:rPr>
          <w:rFonts w:hint="eastAsia" w:ascii="黑体" w:hAnsi="黑体" w:eastAsia="黑体"/>
          <w:sz w:val="32"/>
          <w:szCs w:val="32"/>
          <w:lang w:val="en-US" w:eastAsia="zh-CN"/>
        </w:rPr>
        <w:t>十</w:t>
      </w:r>
      <w:r>
        <w:rPr>
          <w:rFonts w:hint="eastAsia" w:ascii="黑体" w:hAnsi="黑体" w:eastAsia="黑体"/>
          <w:sz w:val="32"/>
          <w:szCs w:val="32"/>
        </w:rPr>
        <w:t>、其他需要说明的情况</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仿宋_GB2312" w:eastAsia="仿宋_GB2312"/>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2"/>
        <w:rPr>
          <w:rFonts w:ascii="Times New Roman" w:hAnsi="Times New Roman" w:cs="Times New Roman"/>
          <w:color w:val="000000"/>
          <w:kern w:val="0"/>
          <w:sz w:val="32"/>
          <w:szCs w:val="32"/>
        </w:rPr>
      </w:pPr>
    </w:p>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等线">
    <w:altName w:val="宋体"/>
    <w:panose1 w:val="02010600030101010101"/>
    <w:charset w:val="86"/>
    <w:family w:val="roman"/>
    <w:pitch w:val="default"/>
    <w:sig w:usb0="00000000" w:usb1="00000000" w:usb2="00000016" w:usb3="00000000" w:csb0="0004000F" w:csb1="00000000"/>
  </w:font>
  <w:font w:name="方正小标宋简体">
    <w:altName w:val="Arial Unicode MS"/>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6MNYPAgAABwQAAA4AAABkcnMvZTJvRG9jLnhtbK1TzY7TMBC+I/EO&#10;lu80aVFX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vJ7m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Nn6MNYPAgAABwQAAA4AAAAAAAAAAQAgAAAA&#10;HwEAAGRycy9lMm9Eb2MueG1sUEsFBgAAAAAGAAYAWQEAAKA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C8A19D9"/>
    <w:multiLevelType w:val="singleLevel"/>
    <w:tmpl w:val="9C8A19D9"/>
    <w:lvl w:ilvl="0" w:tentative="0">
      <w:start w:val="1"/>
      <w:numFmt w:val="chineseCounting"/>
      <w:suff w:val="nothing"/>
      <w:lvlText w:val="%1、"/>
      <w:lvlJc w:val="left"/>
      <w:rPr>
        <w:rFonts w:hint="eastAsia"/>
      </w:rPr>
    </w:lvl>
  </w:abstractNum>
  <w:abstractNum w:abstractNumId="1">
    <w:nsid w:val="B5DE9AC2"/>
    <w:multiLevelType w:val="singleLevel"/>
    <w:tmpl w:val="B5DE9AC2"/>
    <w:lvl w:ilvl="0" w:tentative="0">
      <w:start w:val="1"/>
      <w:numFmt w:val="decimal"/>
      <w:suff w:val="space"/>
      <w:lvlText w:val="%1."/>
      <w:lvlJc w:val="left"/>
    </w:lvl>
  </w:abstractNum>
  <w:abstractNum w:abstractNumId="2">
    <w:nsid w:val="6462F253"/>
    <w:multiLevelType w:val="singleLevel"/>
    <w:tmpl w:val="6462F253"/>
    <w:lvl w:ilvl="0" w:tentative="0">
      <w:start w:val="1"/>
      <w:numFmt w:val="chineseCounting"/>
      <w:suff w:val="nothing"/>
      <w:lvlText w:val="（%1）"/>
      <w:lvlJc w:val="left"/>
    </w:lvl>
  </w:abstractNum>
  <w:abstractNum w:abstractNumId="3">
    <w:nsid w:val="6462F8B5"/>
    <w:multiLevelType w:val="singleLevel"/>
    <w:tmpl w:val="6462F8B5"/>
    <w:lvl w:ilvl="0" w:tentative="0">
      <w:start w:val="3"/>
      <w:numFmt w:val="chineseCounting"/>
      <w:suff w:val="nothing"/>
      <w:lvlText w:val="%1、"/>
      <w:lvlJc w:val="left"/>
    </w:lvl>
  </w:abstractNum>
  <w:abstractNum w:abstractNumId="4">
    <w:nsid w:val="6462F8C1"/>
    <w:multiLevelType w:val="singleLevel"/>
    <w:tmpl w:val="6462F8C1"/>
    <w:lvl w:ilvl="0" w:tentative="0">
      <w:start w:val="4"/>
      <w:numFmt w:val="chineseCounting"/>
      <w:suff w:val="nothing"/>
      <w:lvlText w:val="%1、"/>
      <w:lvlJc w:val="left"/>
    </w:lvl>
  </w:abstractNum>
  <w:abstractNum w:abstractNumId="5">
    <w:nsid w:val="6462F8CD"/>
    <w:multiLevelType w:val="singleLevel"/>
    <w:tmpl w:val="6462F8CD"/>
    <w:lvl w:ilvl="0" w:tentative="0">
      <w:start w:val="5"/>
      <w:numFmt w:val="chineseCounting"/>
      <w:suff w:val="nothing"/>
      <w:lvlText w:val="%1、"/>
      <w:lvlJc w:val="left"/>
    </w:lvl>
  </w:abstractNum>
  <w:abstractNum w:abstractNumId="6">
    <w:nsid w:val="6A94D0D5"/>
    <w:multiLevelType w:val="singleLevel"/>
    <w:tmpl w:val="6A94D0D5"/>
    <w:lvl w:ilvl="0" w:tentative="0">
      <w:start w:val="7"/>
      <w:numFmt w:val="chineseCounting"/>
      <w:suff w:val="nothing"/>
      <w:lvlText w:val="%1、"/>
      <w:lvlJc w:val="left"/>
    </w:lvl>
  </w:abstractNum>
  <w:abstractNum w:abstractNumId="7">
    <w:nsid w:val="6A94DA0E"/>
    <w:multiLevelType w:val="singleLevel"/>
    <w:tmpl w:val="6A94DA0E"/>
    <w:lvl w:ilvl="0" w:tentative="0">
      <w:start w:val="2"/>
      <w:numFmt w:val="chineseCounting"/>
      <w:suff w:val="nothing"/>
      <w:lvlText w:val="（%1）"/>
      <w:lvlJc w:val="left"/>
    </w:lvl>
  </w:abstractNum>
  <w:num w:numId="1">
    <w:abstractNumId w:val="1"/>
  </w:num>
  <w:num w:numId="2">
    <w:abstractNumId w:val="6"/>
  </w:num>
  <w:num w:numId="3">
    <w:abstractNumId w:val="7"/>
  </w:num>
  <w:num w:numId="4">
    <w:abstractNumId w:val="0"/>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BmZjgwOTUyMjQ4NjljYzI5Njg5NTk2MmFlM2QwMTc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4FF4824"/>
    <w:rsid w:val="1B3426D8"/>
    <w:rsid w:val="1D75186B"/>
    <w:rsid w:val="1D97DEFF"/>
    <w:rsid w:val="1DFF72E5"/>
    <w:rsid w:val="1EFC6F07"/>
    <w:rsid w:val="238B19FE"/>
    <w:rsid w:val="2FDF85B8"/>
    <w:rsid w:val="2FFFEE04"/>
    <w:rsid w:val="34DF85B0"/>
    <w:rsid w:val="36005C1B"/>
    <w:rsid w:val="3725637B"/>
    <w:rsid w:val="3763428E"/>
    <w:rsid w:val="3AB87FAB"/>
    <w:rsid w:val="3B8F36BC"/>
    <w:rsid w:val="406C32FE"/>
    <w:rsid w:val="414B6EFF"/>
    <w:rsid w:val="43296720"/>
    <w:rsid w:val="491FF225"/>
    <w:rsid w:val="4D093C7D"/>
    <w:rsid w:val="4FFD214C"/>
    <w:rsid w:val="50F54B3B"/>
    <w:rsid w:val="5344366A"/>
    <w:rsid w:val="55663856"/>
    <w:rsid w:val="5777D4F5"/>
    <w:rsid w:val="59302B9E"/>
    <w:rsid w:val="59DD8326"/>
    <w:rsid w:val="5CEB51D2"/>
    <w:rsid w:val="5DEF592A"/>
    <w:rsid w:val="5FC6BB1E"/>
    <w:rsid w:val="5FF720F1"/>
    <w:rsid w:val="63A00E77"/>
    <w:rsid w:val="67FF5C0B"/>
    <w:rsid w:val="6EFC0924"/>
    <w:rsid w:val="6FB74722"/>
    <w:rsid w:val="6FEF8B7E"/>
    <w:rsid w:val="71A6591B"/>
    <w:rsid w:val="71F716FC"/>
    <w:rsid w:val="737D59BA"/>
    <w:rsid w:val="779C6B0B"/>
    <w:rsid w:val="77C37683"/>
    <w:rsid w:val="79D19834"/>
    <w:rsid w:val="79FF515B"/>
    <w:rsid w:val="7BF549BF"/>
    <w:rsid w:val="7E9E1962"/>
    <w:rsid w:val="7E9F11B4"/>
    <w:rsid w:val="7EB34863"/>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2">
    <w:name w:val="toc 1"/>
    <w:basedOn w:val="1"/>
    <w:next w:val="1"/>
    <w:unhideWhenUsed/>
    <w:qFormat/>
    <w:uiPriority w:val="39"/>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unhideWhenUsed/>
    <w:uiPriority w:val="99"/>
    <w:pPr>
      <w:spacing w:before="100" w:beforeAutospacing="1" w:after="100" w:afterAutospacing="1"/>
      <w:jc w:val="left"/>
    </w:pPr>
    <w:rPr>
      <w:rFonts w:ascii="Calibri" w:hAnsi="Calibri"/>
      <w:kern w:val="0"/>
      <w:sz w:val="24"/>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paragraph" w:customStyle="1" w:styleId="20">
    <w:name w:val="列出段落2"/>
    <w:basedOn w:val="1"/>
    <w:qFormat/>
    <w:uiPriority w:val="99"/>
    <w:pPr>
      <w:ind w:firstLine="420" w:firstLineChars="200"/>
    </w:pPr>
    <w:rPr>
      <w:rFonts w:ascii="等线" w:hAnsi="等线" w:eastAsia="等线" w:cs="等线"/>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2451</Words>
  <Characters>2881</Characters>
  <Lines>69</Lines>
  <Paragraphs>19</Paragraphs>
  <ScaleCrop>false</ScaleCrop>
  <LinksUpToDate>false</LinksUpToDate>
  <CharactersWithSpaces>3257</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2026-08-31T02:09:00Z</cp:lastPrinted>
  <dcterms:modified xsi:type="dcterms:W3CDTF">2026-08-31T07:10:44Z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y fmtid="{D5CDD505-2E9C-101B-9397-08002B2CF9AE}" pid="3" name="ICV">
    <vt:lpwstr>2628D4CDBB3D458B93EDC0A4B05D94B1_13</vt:lpwstr>
  </property>
  <property fmtid="{D5CDD505-2E9C-101B-9397-08002B2CF9AE}" pid="4" name="KSOTemplateDocerSaveRecord">
    <vt:lpwstr>eyJoZGlkIjoiZWM2OWI2MjM0ZWQ5NDY1ZTljZDg2MGM3MDExMjEyNWUiLCJ1c2VySWQiOiI2MDEyMjAyOTQifQ==</vt:lpwstr>
  </property>
</Properties>
</file>